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4FC05" w14:textId="77777777" w:rsidR="009C0430" w:rsidRDefault="009C0430">
      <w:pPr>
        <w:jc w:val="center"/>
        <w:rPr>
          <w:rFonts w:ascii="Times New Roman" w:hAnsi="Times New Roman" w:cs="Times New Roman"/>
          <w:b/>
          <w:sz w:val="24"/>
          <w:szCs w:val="24"/>
        </w:rPr>
      </w:pPr>
    </w:p>
    <w:p w14:paraId="01354FC5" w14:textId="77777777" w:rsidR="009C0430" w:rsidRDefault="009C0430">
      <w:pPr>
        <w:jc w:val="center"/>
        <w:rPr>
          <w:rFonts w:ascii="Times New Roman" w:hAnsi="Times New Roman" w:cs="Times New Roman"/>
          <w:b/>
          <w:bCs/>
          <w:color w:val="FF0000"/>
        </w:rPr>
      </w:pPr>
    </w:p>
    <w:p w14:paraId="7541E718" w14:textId="77777777" w:rsidR="009C0430" w:rsidRDefault="00B27CD4">
      <w:pPr>
        <w:jc w:val="center"/>
        <w:rPr>
          <w:rFonts w:ascii="Times New Roman" w:hAnsi="Times New Roman" w:cs="Times New Roman"/>
          <w:b/>
          <w:sz w:val="40"/>
          <w:szCs w:val="40"/>
        </w:rPr>
      </w:pPr>
      <w:r>
        <w:rPr>
          <w:rFonts w:ascii="Times New Roman" w:hAnsi="Times New Roman" w:cs="Times New Roman"/>
          <w:b/>
          <w:sz w:val="40"/>
          <w:szCs w:val="40"/>
        </w:rPr>
        <w:t>УСЛОВИЯ ЗА КАНДИДАТСТВАНЕ</w:t>
      </w:r>
    </w:p>
    <w:p w14:paraId="7C4B7C34" w14:textId="77777777" w:rsidR="009C0430" w:rsidRDefault="00B27CD4">
      <w:pPr>
        <w:spacing w:before="160" w:line="360" w:lineRule="auto"/>
        <w:jc w:val="center"/>
        <w:rPr>
          <w:rFonts w:ascii="Times New Roman" w:hAnsi="Times New Roman" w:cs="Times New Roman"/>
          <w:b/>
          <w:sz w:val="32"/>
          <w:szCs w:val="32"/>
        </w:rPr>
      </w:pPr>
      <w:r>
        <w:rPr>
          <w:rFonts w:ascii="Times New Roman" w:hAnsi="Times New Roman" w:cs="Times New Roman"/>
          <w:b/>
          <w:sz w:val="32"/>
          <w:szCs w:val="32"/>
        </w:rPr>
        <w:t>с проектни предложения за предоставяне на безвъзмездна финансова помощ по</w:t>
      </w:r>
    </w:p>
    <w:p w14:paraId="76E8BF43" w14:textId="77777777" w:rsidR="009C0430" w:rsidRDefault="00B27CD4">
      <w:pPr>
        <w:spacing w:before="160" w:line="360" w:lineRule="auto"/>
        <w:jc w:val="center"/>
        <w:rPr>
          <w:rFonts w:ascii="Times New Roman" w:hAnsi="Times New Roman" w:cs="Times New Roman"/>
          <w:b/>
          <w:sz w:val="32"/>
          <w:szCs w:val="32"/>
        </w:rPr>
      </w:pPr>
      <w:r>
        <w:rPr>
          <w:rFonts w:ascii="Times New Roman" w:hAnsi="Times New Roman" w:cs="Times New Roman"/>
          <w:b/>
          <w:sz w:val="32"/>
          <w:szCs w:val="32"/>
        </w:rPr>
        <w:t xml:space="preserve">Оперативна програма „Развитие на човешките ресурси“ </w:t>
      </w:r>
    </w:p>
    <w:p w14:paraId="59FE6E97" w14:textId="77777777" w:rsidR="009C0430" w:rsidRDefault="00B27CD4">
      <w:pPr>
        <w:spacing w:before="160" w:line="360" w:lineRule="auto"/>
        <w:jc w:val="center"/>
        <w:rPr>
          <w:rFonts w:ascii="Times New Roman" w:hAnsi="Times New Roman" w:cs="Times New Roman"/>
          <w:b/>
          <w:sz w:val="32"/>
          <w:szCs w:val="32"/>
        </w:rPr>
      </w:pPr>
      <w:r>
        <w:rPr>
          <w:rFonts w:ascii="Times New Roman" w:hAnsi="Times New Roman" w:cs="Times New Roman"/>
          <w:b/>
          <w:sz w:val="32"/>
          <w:szCs w:val="32"/>
        </w:rPr>
        <w:t>2014-2020 чрез подхода</w:t>
      </w:r>
    </w:p>
    <w:p w14:paraId="10E57D6F" w14:textId="77777777" w:rsidR="009C0430" w:rsidRDefault="00B27CD4">
      <w:pPr>
        <w:spacing w:before="160" w:line="360" w:lineRule="auto"/>
        <w:jc w:val="center"/>
        <w:rPr>
          <w:rFonts w:ascii="Times New Roman" w:hAnsi="Times New Roman" w:cs="Times New Roman"/>
          <w:b/>
          <w:sz w:val="32"/>
          <w:szCs w:val="32"/>
        </w:rPr>
      </w:pPr>
      <w:r>
        <w:rPr>
          <w:rFonts w:ascii="Times New Roman" w:hAnsi="Times New Roman" w:cs="Times New Roman"/>
          <w:b/>
          <w:sz w:val="32"/>
          <w:szCs w:val="32"/>
        </w:rPr>
        <w:t>ВОДЕНО ОТ ОБЩНОСТИТЕ МЕСТНО РАЗВИТИЕ</w:t>
      </w:r>
    </w:p>
    <w:p w14:paraId="4F09D85A" w14:textId="77777777" w:rsidR="009C0430" w:rsidRDefault="009C0430">
      <w:pPr>
        <w:jc w:val="center"/>
        <w:rPr>
          <w:rFonts w:ascii="Times New Roman" w:hAnsi="Times New Roman" w:cs="Times New Roman"/>
        </w:rPr>
      </w:pPr>
    </w:p>
    <w:tbl>
      <w:tblPr>
        <w:tblStyle w:val="afe"/>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9496"/>
      </w:tblGrid>
      <w:tr w:rsidR="009C0430" w14:paraId="420BF2BF" w14:textId="77777777">
        <w:trPr>
          <w:trHeight w:val="470"/>
        </w:trPr>
        <w:tc>
          <w:tcPr>
            <w:tcW w:w="9496" w:type="dxa"/>
            <w:shd w:val="clear" w:color="auto" w:fill="CCECFF"/>
          </w:tcPr>
          <w:p w14:paraId="47BDC40B" w14:textId="77777777" w:rsidR="009C0430" w:rsidRDefault="00B27CD4">
            <w:pPr>
              <w:spacing w:before="240" w:after="240"/>
              <w:jc w:val="center"/>
              <w:rPr>
                <w:rFonts w:ascii="Times New Roman" w:eastAsia="Times New Roman" w:hAnsi="Times New Roman" w:cs="Times New Roman"/>
                <w:b/>
                <w:sz w:val="28"/>
                <w:szCs w:val="28"/>
                <w:lang w:eastAsia="bg-BG"/>
              </w:rPr>
            </w:pPr>
            <w:r>
              <w:rPr>
                <w:rFonts w:ascii="Times New Roman" w:eastAsia="Times New Roman" w:hAnsi="Times New Roman" w:cs="Times New Roman"/>
                <w:b/>
                <w:sz w:val="28"/>
                <w:szCs w:val="28"/>
                <w:lang w:eastAsia="bg-BG"/>
              </w:rPr>
              <w:t xml:space="preserve">Процедура чрез подбор на проектни предложения с </w:t>
            </w:r>
            <w:r w:rsidR="00430063">
              <w:rPr>
                <w:rFonts w:ascii="Times New Roman" w:eastAsia="Times New Roman" w:hAnsi="Times New Roman" w:cs="Times New Roman"/>
                <w:b/>
                <w:sz w:val="28"/>
                <w:szCs w:val="28"/>
                <w:lang w:eastAsia="bg-BG"/>
              </w:rPr>
              <w:t xml:space="preserve">един </w:t>
            </w:r>
            <w:proofErr w:type="spellStart"/>
            <w:r w:rsidR="00430063">
              <w:rPr>
                <w:rFonts w:ascii="Times New Roman" w:eastAsia="Times New Roman" w:hAnsi="Times New Roman" w:cs="Times New Roman"/>
                <w:b/>
                <w:sz w:val="28"/>
                <w:szCs w:val="28"/>
                <w:lang w:eastAsia="bg-BG"/>
              </w:rPr>
              <w:t>краен</w:t>
            </w:r>
            <w:r>
              <w:rPr>
                <w:rFonts w:ascii="Times New Roman" w:eastAsia="Times New Roman" w:hAnsi="Times New Roman" w:cs="Times New Roman"/>
                <w:b/>
                <w:sz w:val="28"/>
                <w:szCs w:val="28"/>
                <w:lang w:eastAsia="bg-BG"/>
              </w:rPr>
              <w:t>срок</w:t>
            </w:r>
            <w:proofErr w:type="spellEnd"/>
            <w:r>
              <w:rPr>
                <w:rFonts w:ascii="Times New Roman" w:eastAsia="Times New Roman" w:hAnsi="Times New Roman" w:cs="Times New Roman"/>
                <w:b/>
                <w:sz w:val="28"/>
                <w:szCs w:val="28"/>
                <w:lang w:eastAsia="bg-BG"/>
              </w:rPr>
              <w:t xml:space="preserve"> за кандидатстване</w:t>
            </w:r>
          </w:p>
          <w:p w14:paraId="5616C18C" w14:textId="77777777" w:rsidR="009C0430" w:rsidRDefault="00B27CD4">
            <w:pPr>
              <w:spacing w:before="240" w:after="240"/>
              <w:jc w:val="center"/>
              <w:rPr>
                <w:rFonts w:ascii="Times New Roman" w:eastAsia="Times New Roman" w:hAnsi="Times New Roman" w:cs="Times New Roman"/>
                <w:b/>
                <w:caps/>
                <w:color w:val="000000" w:themeColor="text1"/>
                <w:sz w:val="28"/>
                <w:szCs w:val="28"/>
                <w:lang w:eastAsia="bg-BG"/>
              </w:rPr>
            </w:pPr>
            <w:r>
              <w:rPr>
                <w:rFonts w:ascii="Times New Roman" w:eastAsia="Times New Roman" w:hAnsi="Times New Roman" w:cs="Times New Roman"/>
                <w:b/>
                <w:sz w:val="28"/>
                <w:szCs w:val="28"/>
                <w:lang w:eastAsia="bg-BG"/>
              </w:rPr>
              <w:t>BG05M9OP001-2.</w:t>
            </w:r>
            <w:r>
              <w:rPr>
                <w:rFonts w:ascii="Times New Roman" w:eastAsia="Times New Roman" w:hAnsi="Times New Roman" w:cs="Times New Roman"/>
                <w:b/>
                <w:sz w:val="28"/>
                <w:szCs w:val="28"/>
                <w:lang w:val="en-US" w:eastAsia="bg-BG"/>
              </w:rPr>
              <w:t>102</w:t>
            </w:r>
            <w:r>
              <w:rPr>
                <w:rFonts w:ascii="Times New Roman" w:eastAsia="Times New Roman" w:hAnsi="Times New Roman" w:cs="Times New Roman"/>
                <w:b/>
                <w:color w:val="000000" w:themeColor="text1"/>
                <w:sz w:val="28"/>
                <w:szCs w:val="28"/>
                <w:lang w:eastAsia="bg-BG"/>
              </w:rPr>
              <w:t>“МИГ Мъглиж, Казанлък, Гурково - "Намаляване на бедността и насърчаване на социалното включване</w:t>
            </w:r>
            <w:r>
              <w:rPr>
                <w:rFonts w:ascii="Times New Roman" w:eastAsia="Times New Roman" w:hAnsi="Times New Roman" w:cs="Times New Roman"/>
                <w:b/>
                <w:caps/>
                <w:color w:val="000000" w:themeColor="text1"/>
                <w:sz w:val="28"/>
                <w:szCs w:val="28"/>
                <w:lang w:eastAsia="bg-BG"/>
              </w:rPr>
              <w:t>”</w:t>
            </w:r>
          </w:p>
        </w:tc>
      </w:tr>
    </w:tbl>
    <w:p w14:paraId="5F6C6FE3" w14:textId="77777777" w:rsidR="009C0430" w:rsidRDefault="009C0430">
      <w:pPr>
        <w:jc w:val="center"/>
        <w:rPr>
          <w:rFonts w:ascii="Times New Roman" w:hAnsi="Times New Roman" w:cs="Times New Roman"/>
        </w:rPr>
      </w:pPr>
    </w:p>
    <w:p w14:paraId="5E0D43E2" w14:textId="1965F9DF" w:rsidR="009C0430" w:rsidRDefault="00B27CD4">
      <w:pPr>
        <w:jc w:val="both"/>
        <w:rPr>
          <w:rFonts w:ascii="Times New Roman" w:hAnsi="Times New Roman" w:cs="Times New Roman"/>
        </w:rPr>
      </w:pPr>
      <w:r>
        <w:rPr>
          <w:rFonts w:ascii="Times New Roman" w:hAnsi="Times New Roman" w:cs="Times New Roman"/>
        </w:rPr>
        <w:t>Първи краен срок за кандидатстване: 0</w:t>
      </w:r>
      <w:r w:rsidR="008F3438">
        <w:rPr>
          <w:rFonts w:ascii="Times New Roman" w:hAnsi="Times New Roman" w:cs="Times New Roman"/>
          <w:lang w:val="en-US"/>
        </w:rPr>
        <w:t>2</w:t>
      </w:r>
      <w:r>
        <w:rPr>
          <w:rFonts w:ascii="Times New Roman" w:hAnsi="Times New Roman" w:cs="Times New Roman"/>
        </w:rPr>
        <w:t>.</w:t>
      </w:r>
      <w:r w:rsidR="008F3438">
        <w:rPr>
          <w:rFonts w:ascii="Times New Roman" w:hAnsi="Times New Roman" w:cs="Times New Roman"/>
          <w:lang w:val="en-US"/>
        </w:rPr>
        <w:t>11</w:t>
      </w:r>
      <w:r>
        <w:rPr>
          <w:rFonts w:ascii="Times New Roman" w:hAnsi="Times New Roman" w:cs="Times New Roman"/>
        </w:rPr>
        <w:t>.2020 г., 17:00 часа.</w:t>
      </w:r>
    </w:p>
    <w:p w14:paraId="3DF22EEF" w14:textId="77777777" w:rsidR="009C0430" w:rsidRDefault="009C0430">
      <w:pPr>
        <w:jc w:val="center"/>
        <w:rPr>
          <w:rFonts w:ascii="Times New Roman" w:hAnsi="Times New Roman" w:cs="Times New Roman"/>
        </w:rPr>
      </w:pPr>
    </w:p>
    <w:p w14:paraId="0EFF6E01" w14:textId="77777777" w:rsidR="009C0430" w:rsidRDefault="00B50ADD">
      <w:pPr>
        <w:jc w:val="center"/>
        <w:rPr>
          <w:rFonts w:ascii="Times New Roman" w:hAnsi="Times New Roman" w:cs="Times New Roman"/>
        </w:rPr>
      </w:pPr>
      <w:r>
        <w:rPr>
          <w:rFonts w:ascii="Times New Roman" w:hAnsi="Times New Roman" w:cs="Times New Roman"/>
          <w:noProof/>
          <w:lang w:eastAsia="bg-BG"/>
        </w:rPr>
      </w:r>
      <w:r>
        <w:rPr>
          <w:rFonts w:ascii="Times New Roman" w:hAnsi="Times New Roman" w:cs="Times New Roman"/>
          <w:noProof/>
          <w:lang w:eastAsia="bg-BG"/>
        </w:rPr>
        <w:pict w14:anchorId="00A7EADE">
          <v:group id="Canvas 2" o:spid="_x0000_s1026" editas="canvas" style="width:471.75pt;height:33pt;mso-position-horizontal-relative:char;mso-position-vertical-relative:line" coordsize="59912,4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4191;visibility:visible">
              <v:fill o:detectmouseclick="t"/>
              <v:path o:connecttype="none"/>
            </v:shape>
            <v:line id="Line 4" o:spid="_x0000_s1028" style="position:absolute;flip:y;visibility:visible" from="359,1391" to="28082,1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272;top:682;width:3185;height:14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"/>
            <v:line id="Line 6" o:spid="_x0000_s1030" style="position:absolute;flip:y;visibility:visible" from="33883,1408" to="59340,1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w10:anchorlock/>
          </v:group>
        </w:pict>
      </w:r>
    </w:p>
    <w:p w14:paraId="782BD468" w14:textId="77777777" w:rsidR="009C0430" w:rsidRDefault="009C0430">
      <w:pPr>
        <w:rPr>
          <w:rFonts w:ascii="Times New Roman" w:hAnsi="Times New Roman" w:cs="Times New Roman"/>
          <w:b/>
        </w:rPr>
      </w:pPr>
    </w:p>
    <w:p w14:paraId="448094E3" w14:textId="77777777" w:rsidR="009C0430" w:rsidRDefault="00B27CD4">
      <w:pPr>
        <w:rPr>
          <w:rFonts w:ascii="Times New Roman" w:eastAsia="Times New Roman" w:hAnsi="Times New Roman" w:cs="Times New Roman"/>
          <w:b/>
          <w:bCs/>
          <w:snapToGrid w:val="0"/>
        </w:rPr>
      </w:pPr>
      <w:r>
        <w:rPr>
          <w:rFonts w:ascii="Times New Roman" w:hAnsi="Times New Roman" w:cs="Times New Roman"/>
          <w:b/>
        </w:rPr>
        <w:t>*Условията и редът за предоставянето на безвъзмездна финансова подкрепа от ОП РЧР чрез ВОМР са съгласно  ЗУСЕСИФ от 22.12.2015 г. и ПМС 161/04.07.2016 г.</w:t>
      </w:r>
      <w:r>
        <w:rPr>
          <w:rFonts w:ascii="Times New Roman" w:hAnsi="Times New Roman" w:cs="Times New Roman"/>
          <w:b/>
        </w:rPr>
        <w:br w:type="page"/>
      </w:r>
    </w:p>
    <w:p w14:paraId="13DCB317" w14:textId="77777777" w:rsidR="009C0430" w:rsidRDefault="00B27CD4">
      <w:pPr>
        <w:rPr>
          <w:rFonts w:ascii="Times New Roman" w:hAnsi="Times New Roman" w:cs="Times New Roman"/>
          <w:b/>
          <w:sz w:val="28"/>
          <w:szCs w:val="28"/>
        </w:rPr>
      </w:pPr>
      <w:r>
        <w:rPr>
          <w:rFonts w:ascii="Times New Roman" w:hAnsi="Times New Roman" w:cs="Times New Roman"/>
          <w:b/>
          <w:sz w:val="28"/>
          <w:szCs w:val="28"/>
        </w:rPr>
        <w:lastRenderedPageBreak/>
        <w:t>СЪДЪРЖАНИЕ:</w:t>
      </w:r>
    </w:p>
    <w:p w14:paraId="14CF3F0B" w14:textId="77777777" w:rsidR="009C0430" w:rsidRDefault="006C496A">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b w:val="0"/>
        </w:rPr>
        <w:fldChar w:fldCharType="begin"/>
      </w:r>
      <w:r w:rsidR="00B27CD4">
        <w:rPr>
          <w:rFonts w:ascii="Times New Roman" w:hAnsi="Times New Roman" w:cs="Times New Roman"/>
          <w:b w:val="0"/>
        </w:rPr>
        <w:instrText xml:space="preserve"> TOC \o "1-3" </w:instrText>
      </w:r>
      <w:r>
        <w:rPr>
          <w:rFonts w:ascii="Times New Roman" w:hAnsi="Times New Roman" w:cs="Times New Roman"/>
          <w:b w:val="0"/>
        </w:rPr>
        <w:fldChar w:fldCharType="separate"/>
      </w:r>
      <w:r w:rsidR="00B27CD4">
        <w:rPr>
          <w:rFonts w:ascii="Times New Roman" w:hAnsi="Times New Roman" w:cs="Times New Roman"/>
        </w:rPr>
        <w:t>1. Наименование на програмата:</w:t>
      </w:r>
      <w:r w:rsidR="00B27CD4">
        <w:rPr>
          <w:rFonts w:ascii="Times New Roman" w:hAnsi="Times New Roman" w:cs="Times New Roman"/>
        </w:rPr>
        <w:tab/>
      </w:r>
      <w:r>
        <w:rPr>
          <w:rFonts w:ascii="Times New Roman" w:hAnsi="Times New Roman" w:cs="Times New Roman"/>
        </w:rPr>
        <w:fldChar w:fldCharType="begin"/>
      </w:r>
      <w:r w:rsidR="00B27CD4">
        <w:rPr>
          <w:rFonts w:ascii="Times New Roman" w:hAnsi="Times New Roman" w:cs="Times New Roman"/>
        </w:rPr>
        <w:instrText xml:space="preserve"> PAGEREF _Toc488319634 \h </w:instrText>
      </w:r>
      <w:r>
        <w:rPr>
          <w:rFonts w:ascii="Times New Roman" w:hAnsi="Times New Roman" w:cs="Times New Roman"/>
        </w:rPr>
      </w:r>
      <w:r>
        <w:rPr>
          <w:rFonts w:ascii="Times New Roman" w:hAnsi="Times New Roman" w:cs="Times New Roman"/>
        </w:rPr>
        <w:fldChar w:fldCharType="separate"/>
      </w:r>
      <w:r w:rsidR="00BB0D36">
        <w:rPr>
          <w:rFonts w:ascii="Times New Roman" w:hAnsi="Times New Roman" w:cs="Times New Roman"/>
          <w:noProof/>
        </w:rPr>
        <w:t>5</w:t>
      </w:r>
      <w:r>
        <w:rPr>
          <w:rFonts w:ascii="Times New Roman" w:hAnsi="Times New Roman" w:cs="Times New Roman"/>
        </w:rPr>
        <w:fldChar w:fldCharType="end"/>
      </w:r>
    </w:p>
    <w:p w14:paraId="6DB2399F" w14:textId="77777777" w:rsidR="009C0430" w:rsidRDefault="00B27CD4">
      <w:pPr>
        <w:pStyle w:val="21"/>
        <w:tabs>
          <w:tab w:val="left" w:pos="880"/>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1.1.</w:t>
      </w:r>
      <w:r>
        <w:rPr>
          <w:rFonts w:ascii="Times New Roman" w:eastAsiaTheme="minorEastAsia" w:hAnsi="Times New Roman" w:cs="Times New Roman"/>
          <w:b w:val="0"/>
          <w:bCs w:val="0"/>
          <w:sz w:val="24"/>
          <w:szCs w:val="24"/>
          <w:lang w:eastAsia="bg-BG"/>
        </w:rPr>
        <w:tab/>
      </w:r>
      <w:r>
        <w:rPr>
          <w:rFonts w:ascii="Times New Roman" w:hAnsi="Times New Roman" w:cs="Times New Roman"/>
          <w:sz w:val="24"/>
          <w:szCs w:val="24"/>
        </w:rPr>
        <w:t>Обща информация за ОП РЧР 2014-2020 г./ВОМР</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_Toc488319635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5</w:t>
      </w:r>
      <w:r w:rsidR="006C496A">
        <w:rPr>
          <w:rFonts w:ascii="Times New Roman" w:hAnsi="Times New Roman" w:cs="Times New Roman"/>
          <w:sz w:val="24"/>
          <w:szCs w:val="24"/>
        </w:rPr>
        <w:fldChar w:fldCharType="end"/>
      </w:r>
    </w:p>
    <w:p w14:paraId="6959848B"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2. Наименование на приоритетната ос:</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_Toc488319636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6</w:t>
      </w:r>
      <w:r w:rsidR="006C496A">
        <w:rPr>
          <w:rFonts w:ascii="Times New Roman" w:hAnsi="Times New Roman" w:cs="Times New Roman"/>
        </w:rPr>
        <w:fldChar w:fldCharType="end"/>
      </w:r>
    </w:p>
    <w:p w14:paraId="2A3EA509"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3. Наименование на процедурата:</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_Toc488319637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6</w:t>
      </w:r>
      <w:r w:rsidR="006C496A">
        <w:rPr>
          <w:rFonts w:ascii="Times New Roman" w:hAnsi="Times New Roman" w:cs="Times New Roman"/>
        </w:rPr>
        <w:fldChar w:fldCharType="end"/>
      </w:r>
    </w:p>
    <w:p w14:paraId="404E0A42"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4. Измерения по кодове:</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_Toc488319638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6</w:t>
      </w:r>
      <w:r w:rsidR="006C496A">
        <w:rPr>
          <w:rFonts w:ascii="Times New Roman" w:hAnsi="Times New Roman" w:cs="Times New Roman"/>
        </w:rPr>
        <w:fldChar w:fldCharType="end"/>
      </w:r>
    </w:p>
    <w:p w14:paraId="0CEC6477"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5. Териториален обхват:</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_Toc488319639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7</w:t>
      </w:r>
      <w:r w:rsidR="006C496A">
        <w:rPr>
          <w:rFonts w:ascii="Times New Roman" w:hAnsi="Times New Roman" w:cs="Times New Roman"/>
        </w:rPr>
        <w:fldChar w:fldCharType="end"/>
      </w:r>
    </w:p>
    <w:p w14:paraId="63D6DE94"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6. Цели на предоставяната безвъзмездна финансова помощ по процедурата и очаквани резултати:</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_Toc488319640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7</w:t>
      </w:r>
      <w:r w:rsidR="006C496A">
        <w:rPr>
          <w:rFonts w:ascii="Times New Roman" w:hAnsi="Times New Roman" w:cs="Times New Roman"/>
        </w:rPr>
        <w:fldChar w:fldCharType="end"/>
      </w:r>
    </w:p>
    <w:p w14:paraId="4525BA31"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7. Индикатори:</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_Toc488319641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9</w:t>
      </w:r>
      <w:r w:rsidR="006C496A">
        <w:rPr>
          <w:rFonts w:ascii="Times New Roman" w:hAnsi="Times New Roman" w:cs="Times New Roman"/>
        </w:rPr>
        <w:fldChar w:fldCharType="end"/>
      </w:r>
    </w:p>
    <w:p w14:paraId="5364CF41"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8. Общ размер на безвъзмездната финансова помощ по процедурата:</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_Toc488319642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10</w:t>
      </w:r>
      <w:r w:rsidR="006C496A">
        <w:rPr>
          <w:rFonts w:ascii="Times New Roman" w:hAnsi="Times New Roman" w:cs="Times New Roman"/>
        </w:rPr>
        <w:fldChar w:fldCharType="end"/>
      </w:r>
    </w:p>
    <w:p w14:paraId="5D6FC834"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9. Минимален и максимален размер на безвъзмездната финансова помощ за конкретен проект:</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_Toc488319643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10</w:t>
      </w:r>
      <w:r w:rsidR="006C496A">
        <w:rPr>
          <w:rFonts w:ascii="Times New Roman" w:hAnsi="Times New Roman" w:cs="Times New Roman"/>
        </w:rPr>
        <w:fldChar w:fldCharType="end"/>
      </w:r>
    </w:p>
    <w:p w14:paraId="246059B2"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10. Процент на съфинансиране:</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_Toc488319644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10</w:t>
      </w:r>
      <w:r w:rsidR="006C496A">
        <w:rPr>
          <w:rFonts w:ascii="Times New Roman" w:hAnsi="Times New Roman" w:cs="Times New Roman"/>
        </w:rPr>
        <w:fldChar w:fldCharType="end"/>
      </w:r>
    </w:p>
    <w:p w14:paraId="1F5DBD3C"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11. Допустими кандидати:</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_Toc488319645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11</w:t>
      </w:r>
      <w:r w:rsidR="006C496A">
        <w:rPr>
          <w:rFonts w:ascii="Times New Roman" w:hAnsi="Times New Roman" w:cs="Times New Roman"/>
        </w:rPr>
        <w:fldChar w:fldCharType="end"/>
      </w:r>
    </w:p>
    <w:p w14:paraId="6A3169C8"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11.1. Общи изисквания за допустимост на кандидата и партньора/ите:</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_Toc488319646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11</w:t>
      </w:r>
      <w:r w:rsidR="006C496A">
        <w:rPr>
          <w:rFonts w:ascii="Times New Roman" w:hAnsi="Times New Roman" w:cs="Times New Roman"/>
          <w:sz w:val="24"/>
          <w:szCs w:val="24"/>
        </w:rPr>
        <w:fldChar w:fldCharType="end"/>
      </w:r>
    </w:p>
    <w:p w14:paraId="04B40656"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11.2. Специфични изисквания за допустимост на кандидата</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_Toc488319647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12</w:t>
      </w:r>
      <w:r w:rsidR="006C496A">
        <w:rPr>
          <w:rFonts w:ascii="Times New Roman" w:hAnsi="Times New Roman" w:cs="Times New Roman"/>
          <w:sz w:val="24"/>
          <w:szCs w:val="24"/>
        </w:rPr>
        <w:fldChar w:fldCharType="end"/>
      </w:r>
    </w:p>
    <w:p w14:paraId="0963BB35"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12. Допустими партньори</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_Toc488319648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16</w:t>
      </w:r>
      <w:r w:rsidR="006C496A">
        <w:rPr>
          <w:rFonts w:ascii="Times New Roman" w:hAnsi="Times New Roman" w:cs="Times New Roman"/>
        </w:rPr>
        <w:fldChar w:fldCharType="end"/>
      </w:r>
    </w:p>
    <w:p w14:paraId="521188F0"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12.1. Общи изисквания за партньорствата:</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_Toc488319649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16</w:t>
      </w:r>
      <w:r w:rsidR="006C496A">
        <w:rPr>
          <w:rFonts w:ascii="Times New Roman" w:hAnsi="Times New Roman" w:cs="Times New Roman"/>
          <w:sz w:val="24"/>
          <w:szCs w:val="24"/>
        </w:rPr>
        <w:fldChar w:fldCharType="end"/>
      </w:r>
    </w:p>
    <w:p w14:paraId="05BF513B"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12.2. Специфични изисквания за допустимост на партньора/ите:</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_Toc488319650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16</w:t>
      </w:r>
      <w:r w:rsidR="006C496A">
        <w:rPr>
          <w:rFonts w:ascii="Times New Roman" w:hAnsi="Times New Roman" w:cs="Times New Roman"/>
          <w:sz w:val="24"/>
          <w:szCs w:val="24"/>
        </w:rPr>
        <w:fldChar w:fldCharType="end"/>
      </w:r>
    </w:p>
    <w:p w14:paraId="179C0972"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13. Дейности, допустими за финансиране:</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_Toc488319651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17</w:t>
      </w:r>
      <w:r w:rsidR="006C496A">
        <w:rPr>
          <w:rFonts w:ascii="Times New Roman" w:hAnsi="Times New Roman" w:cs="Times New Roman"/>
        </w:rPr>
        <w:fldChar w:fldCharType="end"/>
      </w:r>
    </w:p>
    <w:p w14:paraId="5823190E"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13.1. Общи изисквания за дейностите:</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_Toc488319652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17</w:t>
      </w:r>
      <w:r w:rsidR="006C496A">
        <w:rPr>
          <w:rFonts w:ascii="Times New Roman" w:hAnsi="Times New Roman" w:cs="Times New Roman"/>
          <w:sz w:val="24"/>
          <w:szCs w:val="24"/>
        </w:rPr>
        <w:fldChar w:fldCharType="end"/>
      </w:r>
    </w:p>
    <w:p w14:paraId="5585023B"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13.2. Допустими дейности:</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_Toc488319653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18</w:t>
      </w:r>
      <w:r w:rsidR="006C496A">
        <w:rPr>
          <w:rFonts w:ascii="Times New Roman" w:hAnsi="Times New Roman" w:cs="Times New Roman"/>
          <w:sz w:val="24"/>
          <w:szCs w:val="24"/>
        </w:rPr>
        <w:fldChar w:fldCharType="end"/>
      </w:r>
    </w:p>
    <w:p w14:paraId="6AB36A99"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14. Категории разходи, допустими за финансиране:</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_Toc488319654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25</w:t>
      </w:r>
      <w:r w:rsidR="006C496A">
        <w:rPr>
          <w:rFonts w:ascii="Times New Roman" w:hAnsi="Times New Roman" w:cs="Times New Roman"/>
        </w:rPr>
        <w:fldChar w:fldCharType="end"/>
      </w:r>
    </w:p>
    <w:p w14:paraId="000D4F45"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14.1. Общи правила за допустимост на разходите:</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_Toc488319655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25</w:t>
      </w:r>
      <w:r w:rsidR="006C496A">
        <w:rPr>
          <w:rFonts w:ascii="Times New Roman" w:hAnsi="Times New Roman" w:cs="Times New Roman"/>
          <w:sz w:val="24"/>
          <w:szCs w:val="24"/>
        </w:rPr>
        <w:fldChar w:fldCharType="end"/>
      </w:r>
    </w:p>
    <w:p w14:paraId="19A6BBD2"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14.2. Указания за попълване на бюджетa:</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_Toc488319656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26</w:t>
      </w:r>
      <w:r w:rsidR="006C496A">
        <w:rPr>
          <w:rFonts w:ascii="Times New Roman" w:hAnsi="Times New Roman" w:cs="Times New Roman"/>
          <w:sz w:val="24"/>
          <w:szCs w:val="24"/>
        </w:rPr>
        <w:fldChar w:fldCharType="end"/>
      </w:r>
    </w:p>
    <w:p w14:paraId="2C803225"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14.3. Допустими разходи</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_Toc488319657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32</w:t>
      </w:r>
      <w:r w:rsidR="006C496A">
        <w:rPr>
          <w:rFonts w:ascii="Times New Roman" w:hAnsi="Times New Roman" w:cs="Times New Roman"/>
          <w:sz w:val="24"/>
          <w:szCs w:val="24"/>
        </w:rPr>
        <w:fldChar w:fldCharType="end"/>
      </w:r>
    </w:p>
    <w:p w14:paraId="4D10882E"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14.4. Недопустими разходи</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_Toc488319658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43</w:t>
      </w:r>
      <w:r w:rsidR="006C496A">
        <w:rPr>
          <w:rFonts w:ascii="Times New Roman" w:hAnsi="Times New Roman" w:cs="Times New Roman"/>
          <w:sz w:val="24"/>
          <w:szCs w:val="24"/>
        </w:rPr>
        <w:fldChar w:fldCharType="end"/>
      </w:r>
    </w:p>
    <w:p w14:paraId="0E453311"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15. Допустими целеви групи :</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_Toc488319659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44</w:t>
      </w:r>
      <w:r w:rsidR="006C496A">
        <w:rPr>
          <w:rFonts w:ascii="Times New Roman" w:hAnsi="Times New Roman" w:cs="Times New Roman"/>
        </w:rPr>
        <w:fldChar w:fldCharType="end"/>
      </w:r>
    </w:p>
    <w:p w14:paraId="0FC4CB4D"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16. Приложим режим на минимални/държавни помощи:</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_Toc488319660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44</w:t>
      </w:r>
      <w:r w:rsidR="006C496A">
        <w:rPr>
          <w:rFonts w:ascii="Times New Roman" w:hAnsi="Times New Roman" w:cs="Times New Roman"/>
        </w:rPr>
        <w:fldChar w:fldCharType="end"/>
      </w:r>
    </w:p>
    <w:p w14:paraId="0BB7FE53"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17. Хоризонтални политики:</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_Toc488319661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53</w:t>
      </w:r>
      <w:r w:rsidR="006C496A">
        <w:rPr>
          <w:rFonts w:ascii="Times New Roman" w:hAnsi="Times New Roman" w:cs="Times New Roman"/>
        </w:rPr>
        <w:fldChar w:fldCharType="end"/>
      </w:r>
    </w:p>
    <w:p w14:paraId="2CA47638"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18. Минимален и максимален срок за изпълнение на проекта:</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_Toc488319662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54</w:t>
      </w:r>
      <w:r w:rsidR="006C496A">
        <w:rPr>
          <w:rFonts w:ascii="Times New Roman" w:hAnsi="Times New Roman" w:cs="Times New Roman"/>
        </w:rPr>
        <w:fldChar w:fldCharType="end"/>
      </w:r>
    </w:p>
    <w:p w14:paraId="3C58016F"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19. Ред за оценяване на проектните предложения:</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_Toc488319663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54</w:t>
      </w:r>
      <w:r w:rsidR="006C496A">
        <w:rPr>
          <w:rFonts w:ascii="Times New Roman" w:hAnsi="Times New Roman" w:cs="Times New Roman"/>
        </w:rPr>
        <w:fldChar w:fldCharType="end"/>
      </w:r>
    </w:p>
    <w:p w14:paraId="173BD6EB"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20. Критерии и методика за оценка на проектните предложения:</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_Toc488319664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56</w:t>
      </w:r>
      <w:r w:rsidR="006C496A">
        <w:rPr>
          <w:rFonts w:ascii="Times New Roman" w:hAnsi="Times New Roman" w:cs="Times New Roman"/>
        </w:rPr>
        <w:fldChar w:fldCharType="end"/>
      </w:r>
    </w:p>
    <w:p w14:paraId="6DB0B5CF"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21. Начин на подаване на проектните предложения:</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_Toc488319665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56</w:t>
      </w:r>
      <w:r w:rsidR="006C496A">
        <w:rPr>
          <w:rFonts w:ascii="Times New Roman" w:hAnsi="Times New Roman" w:cs="Times New Roman"/>
        </w:rPr>
        <w:fldChar w:fldCharType="end"/>
      </w:r>
    </w:p>
    <w:p w14:paraId="2F3BA822"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lastRenderedPageBreak/>
        <w:t>22. Списък на документите, които се подават на етап кандидатстване:</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_Toc488319666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58</w:t>
      </w:r>
      <w:r w:rsidR="006C496A">
        <w:rPr>
          <w:rFonts w:ascii="Times New Roman" w:hAnsi="Times New Roman" w:cs="Times New Roman"/>
        </w:rPr>
        <w:fldChar w:fldCharType="end"/>
      </w:r>
    </w:p>
    <w:p w14:paraId="1EADE36A"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23. Срокове за подаване на проектните предложения:</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_Toc488319667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63</w:t>
      </w:r>
      <w:r w:rsidR="006C496A">
        <w:rPr>
          <w:rFonts w:ascii="Times New Roman" w:hAnsi="Times New Roman" w:cs="Times New Roman"/>
        </w:rPr>
        <w:fldChar w:fldCharType="end"/>
      </w:r>
    </w:p>
    <w:p w14:paraId="0FFA22CA"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24. Допълнителни изисквания:</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_Toc488319668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63</w:t>
      </w:r>
      <w:r w:rsidR="006C496A">
        <w:rPr>
          <w:rFonts w:ascii="Times New Roman" w:hAnsi="Times New Roman" w:cs="Times New Roman"/>
        </w:rPr>
        <w:fldChar w:fldCharType="end"/>
      </w:r>
    </w:p>
    <w:p w14:paraId="0A156B97"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24.1. Изпълнители:</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_Toc488319669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63</w:t>
      </w:r>
      <w:r w:rsidR="006C496A">
        <w:rPr>
          <w:rFonts w:ascii="Times New Roman" w:hAnsi="Times New Roman" w:cs="Times New Roman"/>
          <w:sz w:val="24"/>
          <w:szCs w:val="24"/>
        </w:rPr>
        <w:fldChar w:fldCharType="end"/>
      </w:r>
    </w:p>
    <w:p w14:paraId="72CD28EA"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24.2. Устойчивост на резултатите:</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_Toc488319670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64</w:t>
      </w:r>
      <w:r w:rsidR="006C496A">
        <w:rPr>
          <w:rFonts w:ascii="Times New Roman" w:hAnsi="Times New Roman" w:cs="Times New Roman"/>
          <w:sz w:val="24"/>
          <w:szCs w:val="24"/>
        </w:rPr>
        <w:fldChar w:fldCharType="end"/>
      </w:r>
    </w:p>
    <w:p w14:paraId="43A78787"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24.3. Брой предложения и безвъзмездни финансови помощи на кандидат и партньор</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_Toc488319671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64</w:t>
      </w:r>
      <w:r w:rsidR="006C496A">
        <w:rPr>
          <w:rFonts w:ascii="Times New Roman" w:hAnsi="Times New Roman" w:cs="Times New Roman"/>
          <w:sz w:val="24"/>
          <w:szCs w:val="24"/>
        </w:rPr>
        <w:fldChar w:fldCharType="end"/>
      </w:r>
    </w:p>
    <w:p w14:paraId="0D071CE3"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24.4. Допълнителни въпроси и разяснения във връзка с Условията за кандидатстване</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_Toc488319672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64</w:t>
      </w:r>
      <w:r w:rsidR="006C496A">
        <w:rPr>
          <w:rFonts w:ascii="Times New Roman" w:hAnsi="Times New Roman" w:cs="Times New Roman"/>
          <w:sz w:val="24"/>
          <w:szCs w:val="24"/>
        </w:rPr>
        <w:fldChar w:fldCharType="end"/>
      </w:r>
    </w:p>
    <w:p w14:paraId="64EBF7F2"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24.5. Уведомяване относно предварителното решение на МИГ</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_Toc488319673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64</w:t>
      </w:r>
      <w:r w:rsidR="006C496A">
        <w:rPr>
          <w:rFonts w:ascii="Times New Roman" w:hAnsi="Times New Roman" w:cs="Times New Roman"/>
          <w:sz w:val="24"/>
          <w:szCs w:val="24"/>
        </w:rPr>
        <w:fldChar w:fldCharType="end"/>
      </w:r>
    </w:p>
    <w:p w14:paraId="4B93E3B1"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24.6. Процедура за възражения относно оценката</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_Toc488319674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65</w:t>
      </w:r>
      <w:r w:rsidR="006C496A">
        <w:rPr>
          <w:rFonts w:ascii="Times New Roman" w:hAnsi="Times New Roman" w:cs="Times New Roman"/>
          <w:sz w:val="24"/>
          <w:szCs w:val="24"/>
        </w:rPr>
        <w:fldChar w:fldCharType="end"/>
      </w:r>
    </w:p>
    <w:p w14:paraId="0392E2E8"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24.7. Представяне на подкрепящи документи към момента на сключване на административен договор</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_Toc488319675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65</w:t>
      </w:r>
      <w:r w:rsidR="006C496A">
        <w:rPr>
          <w:rFonts w:ascii="Times New Roman" w:hAnsi="Times New Roman" w:cs="Times New Roman"/>
          <w:sz w:val="24"/>
          <w:szCs w:val="24"/>
        </w:rPr>
        <w:fldChar w:fldCharType="end"/>
      </w:r>
    </w:p>
    <w:p w14:paraId="35179D72"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24.8. Уведомяване относно решението на Управляващия орган</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_Toc488319676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70</w:t>
      </w:r>
      <w:r w:rsidR="006C496A">
        <w:rPr>
          <w:rFonts w:ascii="Times New Roman" w:hAnsi="Times New Roman" w:cs="Times New Roman"/>
          <w:sz w:val="24"/>
          <w:szCs w:val="24"/>
        </w:rPr>
        <w:fldChar w:fldCharType="end"/>
      </w:r>
    </w:p>
    <w:p w14:paraId="65FFFCF9"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24.9. Условия за изпълнение на проекта, след решението на Управляващия орган за предоставяне на безвъзмездна финансова помощ</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_Toc488319677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72</w:t>
      </w:r>
      <w:r w:rsidR="006C496A">
        <w:rPr>
          <w:rFonts w:ascii="Times New Roman" w:hAnsi="Times New Roman" w:cs="Times New Roman"/>
          <w:sz w:val="24"/>
          <w:szCs w:val="24"/>
        </w:rPr>
        <w:fldChar w:fldCharType="end"/>
      </w:r>
    </w:p>
    <w:p w14:paraId="2898BF24" w14:textId="77777777" w:rsidR="009C0430" w:rsidRDefault="00B27CD4">
      <w:pPr>
        <w:pStyle w:val="11"/>
        <w:tabs>
          <w:tab w:val="right" w:leader="dot" w:pos="9346"/>
        </w:tabs>
        <w:rPr>
          <w:rFonts w:ascii="Times New Roman" w:eastAsiaTheme="minorEastAsia" w:hAnsi="Times New Roman" w:cs="Times New Roman"/>
          <w:b w:val="0"/>
          <w:bCs w:val="0"/>
          <w:lang w:eastAsia="bg-BG"/>
        </w:rPr>
      </w:pPr>
      <w:r>
        <w:rPr>
          <w:rFonts w:ascii="Times New Roman" w:hAnsi="Times New Roman" w:cs="Times New Roman"/>
        </w:rPr>
        <w:t>25. Приложения към Условията за кандидатстване за кандидатстване:</w:t>
      </w:r>
      <w:r>
        <w:rPr>
          <w:rFonts w:ascii="Times New Roman" w:hAnsi="Times New Roman" w:cs="Times New Roman"/>
        </w:rPr>
        <w:tab/>
      </w:r>
      <w:r w:rsidR="006C496A">
        <w:rPr>
          <w:rFonts w:ascii="Times New Roman" w:hAnsi="Times New Roman" w:cs="Times New Roman"/>
        </w:rPr>
        <w:fldChar w:fldCharType="begin"/>
      </w:r>
      <w:r>
        <w:rPr>
          <w:rFonts w:ascii="Times New Roman" w:hAnsi="Times New Roman" w:cs="Times New Roman"/>
        </w:rPr>
        <w:instrText xml:space="preserve"> PAGEREF _Toc488319678 \h </w:instrText>
      </w:r>
      <w:r w:rsidR="006C496A">
        <w:rPr>
          <w:rFonts w:ascii="Times New Roman" w:hAnsi="Times New Roman" w:cs="Times New Roman"/>
        </w:rPr>
      </w:r>
      <w:r w:rsidR="006C496A">
        <w:rPr>
          <w:rFonts w:ascii="Times New Roman" w:hAnsi="Times New Roman" w:cs="Times New Roman"/>
        </w:rPr>
        <w:fldChar w:fldCharType="separate"/>
      </w:r>
      <w:r w:rsidR="00BB0D36">
        <w:rPr>
          <w:rFonts w:ascii="Times New Roman" w:hAnsi="Times New Roman" w:cs="Times New Roman"/>
          <w:noProof/>
        </w:rPr>
        <w:t>73</w:t>
      </w:r>
      <w:r w:rsidR="006C496A">
        <w:rPr>
          <w:rFonts w:ascii="Times New Roman" w:hAnsi="Times New Roman" w:cs="Times New Roman"/>
        </w:rPr>
        <w:fldChar w:fldCharType="end"/>
      </w:r>
    </w:p>
    <w:p w14:paraId="06E98406"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25.1. Документи, които се подават  към момента на кандидатстване:</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_Toc488319679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73</w:t>
      </w:r>
      <w:r w:rsidR="006C496A">
        <w:rPr>
          <w:rFonts w:ascii="Times New Roman" w:hAnsi="Times New Roman" w:cs="Times New Roman"/>
          <w:sz w:val="24"/>
          <w:szCs w:val="24"/>
        </w:rPr>
        <w:fldChar w:fldCharType="end"/>
      </w:r>
    </w:p>
    <w:p w14:paraId="477A99A5"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25.2. Документи, към момента на подписване на административния договор:</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_Toc488319680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73</w:t>
      </w:r>
      <w:r w:rsidR="006C496A">
        <w:rPr>
          <w:rFonts w:ascii="Times New Roman" w:hAnsi="Times New Roman" w:cs="Times New Roman"/>
          <w:sz w:val="24"/>
          <w:szCs w:val="24"/>
        </w:rPr>
        <w:fldChar w:fldCharType="end"/>
      </w:r>
    </w:p>
    <w:p w14:paraId="45652303" w14:textId="77777777" w:rsidR="009C0430" w:rsidRDefault="00B27CD4">
      <w:pPr>
        <w:pStyle w:val="21"/>
        <w:tabs>
          <w:tab w:val="right" w:leader="dot" w:pos="9346"/>
        </w:tabs>
        <w:rPr>
          <w:rFonts w:ascii="Times New Roman" w:eastAsiaTheme="minorEastAsia" w:hAnsi="Times New Roman" w:cs="Times New Roman"/>
          <w:b w:val="0"/>
          <w:bCs w:val="0"/>
          <w:sz w:val="24"/>
          <w:szCs w:val="24"/>
          <w:lang w:eastAsia="bg-BG"/>
        </w:rPr>
      </w:pPr>
      <w:r>
        <w:rPr>
          <w:rFonts w:ascii="Times New Roman" w:hAnsi="Times New Roman" w:cs="Times New Roman"/>
          <w:sz w:val="24"/>
          <w:szCs w:val="24"/>
        </w:rPr>
        <w:t>25.3. Документи за информация:</w:t>
      </w:r>
      <w:r>
        <w:rPr>
          <w:rFonts w:ascii="Times New Roman" w:hAnsi="Times New Roman" w:cs="Times New Roman"/>
          <w:sz w:val="24"/>
          <w:szCs w:val="24"/>
        </w:rPr>
        <w:tab/>
      </w:r>
      <w:r w:rsidR="006C496A">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_Toc488319681 \h </w:instrText>
      </w:r>
      <w:r w:rsidR="006C496A">
        <w:rPr>
          <w:rFonts w:ascii="Times New Roman" w:hAnsi="Times New Roman" w:cs="Times New Roman"/>
          <w:sz w:val="24"/>
          <w:szCs w:val="24"/>
        </w:rPr>
      </w:r>
      <w:r w:rsidR="006C496A">
        <w:rPr>
          <w:rFonts w:ascii="Times New Roman" w:hAnsi="Times New Roman" w:cs="Times New Roman"/>
          <w:sz w:val="24"/>
          <w:szCs w:val="24"/>
        </w:rPr>
        <w:fldChar w:fldCharType="separate"/>
      </w:r>
      <w:r w:rsidR="00BB0D36">
        <w:rPr>
          <w:rFonts w:ascii="Times New Roman" w:hAnsi="Times New Roman" w:cs="Times New Roman"/>
          <w:noProof/>
          <w:sz w:val="24"/>
          <w:szCs w:val="24"/>
        </w:rPr>
        <w:t>74</w:t>
      </w:r>
      <w:r w:rsidR="006C496A">
        <w:rPr>
          <w:rFonts w:ascii="Times New Roman" w:hAnsi="Times New Roman" w:cs="Times New Roman"/>
          <w:sz w:val="24"/>
          <w:szCs w:val="24"/>
        </w:rPr>
        <w:fldChar w:fldCharType="end"/>
      </w:r>
    </w:p>
    <w:p w14:paraId="53FCFC49" w14:textId="77777777" w:rsidR="009C0430" w:rsidRDefault="006C496A">
      <w:pPr>
        <w:rPr>
          <w:rFonts w:ascii="Times New Roman" w:hAnsi="Times New Roman" w:cs="Times New Roman"/>
          <w:b/>
          <w:sz w:val="24"/>
          <w:szCs w:val="24"/>
        </w:rPr>
      </w:pPr>
      <w:r>
        <w:rPr>
          <w:rFonts w:ascii="Times New Roman" w:hAnsi="Times New Roman" w:cs="Times New Roman"/>
          <w:b/>
          <w:sz w:val="24"/>
          <w:szCs w:val="24"/>
        </w:rPr>
        <w:fldChar w:fldCharType="end"/>
      </w:r>
    </w:p>
    <w:p w14:paraId="2B676053" w14:textId="77777777" w:rsidR="009C0430" w:rsidRDefault="009C0430">
      <w:pPr>
        <w:rPr>
          <w:rFonts w:ascii="Times New Roman" w:hAnsi="Times New Roman" w:cs="Times New Roman"/>
          <w:b/>
          <w:sz w:val="28"/>
          <w:szCs w:val="28"/>
        </w:rPr>
      </w:pPr>
    </w:p>
    <w:p w14:paraId="37E727E5" w14:textId="77777777" w:rsidR="009C0430" w:rsidRDefault="00B27CD4">
      <w:pPr>
        <w:rPr>
          <w:rFonts w:ascii="Times New Roman" w:hAnsi="Times New Roman" w:cs="Times New Roman"/>
          <w:b/>
        </w:rPr>
      </w:pPr>
      <w:r>
        <w:rPr>
          <w:rFonts w:ascii="Times New Roman" w:hAnsi="Times New Roman" w:cs="Times New Roman"/>
          <w:b/>
        </w:rPr>
        <w:t>СПИСЪК НА СЪКРАЩЕНИЯТА</w:t>
      </w:r>
    </w:p>
    <w:tbl>
      <w:tblPr>
        <w:tblW w:w="942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89"/>
        <w:gridCol w:w="6237"/>
      </w:tblGrid>
      <w:tr w:rsidR="009C0430" w14:paraId="2E80B7E3" w14:textId="77777777">
        <w:tc>
          <w:tcPr>
            <w:tcW w:w="3189" w:type="dxa"/>
            <w:shd w:val="clear" w:color="auto" w:fill="auto"/>
            <w:vAlign w:val="center"/>
          </w:tcPr>
          <w:p w14:paraId="39F24A91"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БФП</w:t>
            </w:r>
          </w:p>
        </w:tc>
        <w:tc>
          <w:tcPr>
            <w:tcW w:w="6237" w:type="dxa"/>
            <w:shd w:val="clear" w:color="auto" w:fill="auto"/>
            <w:vAlign w:val="center"/>
          </w:tcPr>
          <w:p w14:paraId="1F23765E" w14:textId="77777777" w:rsidR="009C0430" w:rsidRDefault="00B27CD4">
            <w:pPr>
              <w:tabs>
                <w:tab w:val="right" w:leader="dot" w:pos="9720"/>
              </w:tabs>
              <w:spacing w:line="360" w:lineRule="auto"/>
              <w:ind w:right="201"/>
              <w:rPr>
                <w:rFonts w:ascii="Times New Roman" w:hAnsi="Times New Roman" w:cs="Times New Roman"/>
              </w:rPr>
            </w:pPr>
            <w:r>
              <w:rPr>
                <w:rFonts w:ascii="Times New Roman" w:hAnsi="Times New Roman" w:cs="Times New Roman"/>
              </w:rPr>
              <w:t>Безвъзмездна финансова помощ</w:t>
            </w:r>
          </w:p>
        </w:tc>
      </w:tr>
      <w:tr w:rsidR="009C0430" w14:paraId="36357DBA" w14:textId="77777777">
        <w:tc>
          <w:tcPr>
            <w:tcW w:w="3189" w:type="dxa"/>
            <w:shd w:val="clear" w:color="auto" w:fill="auto"/>
            <w:vAlign w:val="center"/>
          </w:tcPr>
          <w:p w14:paraId="1B1B3ABC"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ВОМР</w:t>
            </w:r>
          </w:p>
        </w:tc>
        <w:tc>
          <w:tcPr>
            <w:tcW w:w="6237" w:type="dxa"/>
            <w:shd w:val="clear" w:color="auto" w:fill="auto"/>
            <w:vAlign w:val="center"/>
          </w:tcPr>
          <w:p w14:paraId="7EA90BC5" w14:textId="77777777" w:rsidR="009C0430" w:rsidRDefault="00B27CD4">
            <w:pPr>
              <w:tabs>
                <w:tab w:val="right" w:leader="dot" w:pos="9720"/>
              </w:tabs>
              <w:spacing w:line="360" w:lineRule="auto"/>
              <w:ind w:right="201"/>
              <w:rPr>
                <w:rFonts w:ascii="Times New Roman" w:hAnsi="Times New Roman" w:cs="Times New Roman"/>
              </w:rPr>
            </w:pPr>
            <w:r>
              <w:rPr>
                <w:rFonts w:ascii="Times New Roman" w:hAnsi="Times New Roman" w:cs="Times New Roman"/>
              </w:rPr>
              <w:t>Водено от общностите местно развитие</w:t>
            </w:r>
          </w:p>
        </w:tc>
      </w:tr>
      <w:tr w:rsidR="009C0430" w14:paraId="1792B248" w14:textId="77777777">
        <w:trPr>
          <w:trHeight w:val="425"/>
        </w:trPr>
        <w:tc>
          <w:tcPr>
            <w:tcW w:w="3189" w:type="dxa"/>
            <w:shd w:val="clear" w:color="auto" w:fill="auto"/>
            <w:vAlign w:val="center"/>
          </w:tcPr>
          <w:p w14:paraId="3D251778"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ЕС</w:t>
            </w:r>
          </w:p>
        </w:tc>
        <w:tc>
          <w:tcPr>
            <w:tcW w:w="6237" w:type="dxa"/>
            <w:shd w:val="clear" w:color="auto" w:fill="auto"/>
            <w:vAlign w:val="center"/>
          </w:tcPr>
          <w:p w14:paraId="53023AB2" w14:textId="77777777" w:rsidR="009C0430" w:rsidRDefault="00B27CD4">
            <w:pPr>
              <w:tabs>
                <w:tab w:val="right" w:leader="dot" w:pos="9720"/>
              </w:tabs>
              <w:spacing w:line="360" w:lineRule="auto"/>
              <w:ind w:right="201"/>
              <w:rPr>
                <w:rFonts w:ascii="Times New Roman" w:hAnsi="Times New Roman" w:cs="Times New Roman"/>
              </w:rPr>
            </w:pPr>
            <w:r>
              <w:rPr>
                <w:rFonts w:ascii="Times New Roman" w:hAnsi="Times New Roman" w:cs="Times New Roman"/>
              </w:rPr>
              <w:t>Европейски съюз</w:t>
            </w:r>
          </w:p>
        </w:tc>
      </w:tr>
      <w:tr w:rsidR="009C0430" w14:paraId="000DC3F3" w14:textId="77777777">
        <w:trPr>
          <w:trHeight w:val="575"/>
        </w:trPr>
        <w:tc>
          <w:tcPr>
            <w:tcW w:w="3189" w:type="dxa"/>
            <w:shd w:val="clear" w:color="auto" w:fill="auto"/>
            <w:vAlign w:val="center"/>
          </w:tcPr>
          <w:p w14:paraId="71CE320B"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ЗУСЕСИФ</w:t>
            </w:r>
          </w:p>
        </w:tc>
        <w:tc>
          <w:tcPr>
            <w:tcW w:w="6237" w:type="dxa"/>
            <w:shd w:val="clear" w:color="auto" w:fill="auto"/>
            <w:vAlign w:val="center"/>
          </w:tcPr>
          <w:p w14:paraId="0E62D18D"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 xml:space="preserve">Закон за управление на средствата от </w:t>
            </w:r>
            <w:proofErr w:type="spellStart"/>
            <w:r>
              <w:rPr>
                <w:rFonts w:ascii="Times New Roman" w:hAnsi="Times New Roman" w:cs="Times New Roman"/>
              </w:rPr>
              <w:t>Eвропейските</w:t>
            </w:r>
            <w:proofErr w:type="spellEnd"/>
            <w:r>
              <w:rPr>
                <w:rFonts w:ascii="Times New Roman" w:hAnsi="Times New Roman" w:cs="Times New Roman"/>
              </w:rPr>
              <w:t xml:space="preserve"> структурни и инвестиционни фондове, обн., ДВ, бр. 101 от 22.12.2015 г</w:t>
            </w:r>
          </w:p>
        </w:tc>
      </w:tr>
      <w:tr w:rsidR="009C0430" w14:paraId="03404FD2" w14:textId="77777777">
        <w:tc>
          <w:tcPr>
            <w:tcW w:w="3189" w:type="dxa"/>
            <w:shd w:val="clear" w:color="auto" w:fill="auto"/>
            <w:vAlign w:val="center"/>
          </w:tcPr>
          <w:p w14:paraId="2B22FDD2"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ИА МТСП</w:t>
            </w:r>
          </w:p>
        </w:tc>
        <w:tc>
          <w:tcPr>
            <w:tcW w:w="6237" w:type="dxa"/>
            <w:shd w:val="clear" w:color="auto" w:fill="auto"/>
            <w:vAlign w:val="center"/>
          </w:tcPr>
          <w:p w14:paraId="78703223"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Изпълнителна агенция Министерство на труда и социалната политика</w:t>
            </w:r>
          </w:p>
        </w:tc>
      </w:tr>
      <w:tr w:rsidR="009C0430" w14:paraId="653B0344" w14:textId="77777777">
        <w:tc>
          <w:tcPr>
            <w:tcW w:w="3189" w:type="dxa"/>
            <w:shd w:val="clear" w:color="auto" w:fill="auto"/>
            <w:vAlign w:val="center"/>
          </w:tcPr>
          <w:p w14:paraId="5542DC5E"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ИС РМП</w:t>
            </w:r>
          </w:p>
        </w:tc>
        <w:tc>
          <w:tcPr>
            <w:tcW w:w="6237" w:type="dxa"/>
            <w:shd w:val="clear" w:color="auto" w:fill="auto"/>
            <w:vAlign w:val="center"/>
          </w:tcPr>
          <w:p w14:paraId="010CDB05"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Информационна система Регистър за минималните помощи</w:t>
            </w:r>
          </w:p>
        </w:tc>
      </w:tr>
      <w:tr w:rsidR="009C0430" w14:paraId="7E87BDE9" w14:textId="77777777">
        <w:tc>
          <w:tcPr>
            <w:tcW w:w="3189" w:type="dxa"/>
            <w:shd w:val="clear" w:color="auto" w:fill="auto"/>
            <w:vAlign w:val="center"/>
          </w:tcPr>
          <w:p w14:paraId="23F9273D"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ИСУН 2020</w:t>
            </w:r>
          </w:p>
        </w:tc>
        <w:tc>
          <w:tcPr>
            <w:tcW w:w="6237" w:type="dxa"/>
            <w:shd w:val="clear" w:color="auto" w:fill="auto"/>
            <w:vAlign w:val="center"/>
          </w:tcPr>
          <w:p w14:paraId="286324CE"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 xml:space="preserve">Информационната система за управление и наблюдение на Структурните инструменти на ЕС в България </w:t>
            </w:r>
          </w:p>
        </w:tc>
      </w:tr>
      <w:tr w:rsidR="009C0430" w14:paraId="2B9B8AE8" w14:textId="77777777">
        <w:tc>
          <w:tcPr>
            <w:tcW w:w="3189" w:type="dxa"/>
            <w:shd w:val="clear" w:color="auto" w:fill="auto"/>
            <w:vAlign w:val="center"/>
          </w:tcPr>
          <w:p w14:paraId="388D93FF"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ОП РЧР</w:t>
            </w:r>
          </w:p>
        </w:tc>
        <w:tc>
          <w:tcPr>
            <w:tcW w:w="6237" w:type="dxa"/>
            <w:shd w:val="clear" w:color="auto" w:fill="auto"/>
            <w:vAlign w:val="center"/>
          </w:tcPr>
          <w:p w14:paraId="2A737D52"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Оперативна програма "Развитие на човешките ресурси"</w:t>
            </w:r>
          </w:p>
        </w:tc>
      </w:tr>
      <w:tr w:rsidR="009C0430" w14:paraId="5EEC8E14" w14:textId="77777777">
        <w:tc>
          <w:tcPr>
            <w:tcW w:w="3189" w:type="dxa"/>
            <w:shd w:val="clear" w:color="auto" w:fill="auto"/>
            <w:vAlign w:val="center"/>
          </w:tcPr>
          <w:p w14:paraId="092CB123"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lastRenderedPageBreak/>
              <w:t>ПМС</w:t>
            </w:r>
          </w:p>
        </w:tc>
        <w:tc>
          <w:tcPr>
            <w:tcW w:w="6237" w:type="dxa"/>
            <w:shd w:val="clear" w:color="auto" w:fill="auto"/>
            <w:vAlign w:val="center"/>
          </w:tcPr>
          <w:p w14:paraId="129450CD"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Постановление на Министерски съвет</w:t>
            </w:r>
          </w:p>
        </w:tc>
      </w:tr>
      <w:tr w:rsidR="009C0430" w14:paraId="1D0E506B" w14:textId="77777777">
        <w:tc>
          <w:tcPr>
            <w:tcW w:w="3189" w:type="dxa"/>
            <w:shd w:val="clear" w:color="auto" w:fill="auto"/>
            <w:vAlign w:val="center"/>
          </w:tcPr>
          <w:p w14:paraId="34138BA7"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РУО</w:t>
            </w:r>
          </w:p>
        </w:tc>
        <w:tc>
          <w:tcPr>
            <w:tcW w:w="6237" w:type="dxa"/>
            <w:shd w:val="clear" w:color="auto" w:fill="auto"/>
            <w:vAlign w:val="center"/>
          </w:tcPr>
          <w:p w14:paraId="6CE15F34"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Ръководител на управляващия орган</w:t>
            </w:r>
          </w:p>
        </w:tc>
      </w:tr>
      <w:tr w:rsidR="009C0430" w14:paraId="550A0C23" w14:textId="77777777">
        <w:tc>
          <w:tcPr>
            <w:tcW w:w="3189" w:type="dxa"/>
            <w:shd w:val="clear" w:color="auto" w:fill="auto"/>
            <w:vAlign w:val="center"/>
          </w:tcPr>
          <w:p w14:paraId="492FDC88"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СВОМР</w:t>
            </w:r>
          </w:p>
        </w:tc>
        <w:tc>
          <w:tcPr>
            <w:tcW w:w="6237" w:type="dxa"/>
            <w:shd w:val="clear" w:color="auto" w:fill="auto"/>
            <w:vAlign w:val="center"/>
          </w:tcPr>
          <w:p w14:paraId="4C2C2812"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Стратегия за изпълнение на водено от общностите местно развитие</w:t>
            </w:r>
          </w:p>
        </w:tc>
      </w:tr>
      <w:tr w:rsidR="009C0430" w14:paraId="4C73F344" w14:textId="77777777">
        <w:tc>
          <w:tcPr>
            <w:tcW w:w="3189" w:type="dxa"/>
            <w:shd w:val="clear" w:color="auto" w:fill="auto"/>
            <w:vAlign w:val="center"/>
          </w:tcPr>
          <w:p w14:paraId="7D806D22"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УО</w:t>
            </w:r>
          </w:p>
        </w:tc>
        <w:tc>
          <w:tcPr>
            <w:tcW w:w="6237" w:type="dxa"/>
            <w:shd w:val="clear" w:color="auto" w:fill="auto"/>
            <w:vAlign w:val="center"/>
          </w:tcPr>
          <w:p w14:paraId="42E7AA10" w14:textId="77777777" w:rsidR="009C0430" w:rsidRDefault="00B27CD4">
            <w:pPr>
              <w:tabs>
                <w:tab w:val="right" w:leader="dot" w:pos="9720"/>
              </w:tabs>
              <w:ind w:right="198"/>
              <w:rPr>
                <w:rFonts w:ascii="Times New Roman" w:hAnsi="Times New Roman" w:cs="Times New Roman"/>
              </w:rPr>
            </w:pPr>
            <w:r>
              <w:rPr>
                <w:rFonts w:ascii="Times New Roman" w:hAnsi="Times New Roman" w:cs="Times New Roman"/>
              </w:rPr>
              <w:t>Управляващ орган</w:t>
            </w:r>
          </w:p>
        </w:tc>
      </w:tr>
      <w:tr w:rsidR="009C0430" w14:paraId="2D2494EF" w14:textId="77777777">
        <w:tc>
          <w:tcPr>
            <w:tcW w:w="3189" w:type="dxa"/>
            <w:shd w:val="clear" w:color="auto" w:fill="auto"/>
            <w:vAlign w:val="center"/>
          </w:tcPr>
          <w:p w14:paraId="17484E2C" w14:textId="77777777" w:rsidR="009C0430" w:rsidRDefault="00B27CD4">
            <w:pPr>
              <w:tabs>
                <w:tab w:val="right" w:leader="dot" w:pos="9720"/>
              </w:tabs>
              <w:spacing w:line="360" w:lineRule="auto"/>
              <w:ind w:right="201"/>
              <w:rPr>
                <w:rFonts w:ascii="Times New Roman" w:hAnsi="Times New Roman" w:cs="Times New Roman"/>
                <w:b/>
              </w:rPr>
            </w:pPr>
            <w:r>
              <w:rPr>
                <w:rFonts w:ascii="Times New Roman" w:hAnsi="Times New Roman" w:cs="Times New Roman"/>
                <w:b/>
              </w:rPr>
              <w:t>ТРРЮЛНЦ</w:t>
            </w:r>
          </w:p>
        </w:tc>
        <w:tc>
          <w:tcPr>
            <w:tcW w:w="6237" w:type="dxa"/>
            <w:shd w:val="clear" w:color="auto" w:fill="auto"/>
            <w:vAlign w:val="center"/>
          </w:tcPr>
          <w:p w14:paraId="4BEBB8FD" w14:textId="77777777" w:rsidR="009C0430" w:rsidRDefault="00B27CD4">
            <w:pPr>
              <w:tabs>
                <w:tab w:val="right" w:leader="dot" w:pos="9720"/>
              </w:tabs>
              <w:ind w:right="198"/>
              <w:rPr>
                <w:rFonts w:ascii="Times New Roman" w:hAnsi="Times New Roman" w:cs="Times New Roman"/>
                <w:sz w:val="24"/>
                <w:szCs w:val="24"/>
              </w:rPr>
            </w:pPr>
            <w:r>
              <w:rPr>
                <w:rFonts w:ascii="Times New Roman" w:hAnsi="Times New Roman" w:cs="Times New Roman"/>
                <w:sz w:val="24"/>
                <w:szCs w:val="24"/>
              </w:rPr>
              <w:t>Търговски регистър и регистър на юридическите лица с нестопанска цел</w:t>
            </w:r>
          </w:p>
        </w:tc>
      </w:tr>
    </w:tbl>
    <w:p w14:paraId="6F725230" w14:textId="77777777" w:rsidR="009C0430" w:rsidRDefault="00B27CD4">
      <w:pPr>
        <w:pStyle w:val="1"/>
        <w:pageBreakBefore/>
      </w:pPr>
      <w:bookmarkStart w:id="0" w:name="_Toc445385556"/>
      <w:bookmarkStart w:id="1" w:name="_Toc442298704"/>
      <w:bookmarkStart w:id="2" w:name="_Toc488319634"/>
      <w:r>
        <w:lastRenderedPageBreak/>
        <w:t>1. Наименование на програмата:</w:t>
      </w:r>
      <w:bookmarkEnd w:id="0"/>
      <w:bookmarkEnd w:id="1"/>
      <w:bookmarkEnd w:id="2"/>
    </w:p>
    <w:p w14:paraId="0FC7F294" w14:textId="77777777" w:rsidR="009C0430" w:rsidRDefault="00B27CD4">
      <w:pPr>
        <w:pStyle w:val="a0"/>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Pr>
          <w:rFonts w:ascii="Times New Roman" w:hAnsi="Times New Roman" w:cs="Times New Roman"/>
          <w:sz w:val="24"/>
          <w:szCs w:val="24"/>
        </w:rPr>
        <w:t>Оперативна програма „Развитие на човешките ресурси“ 2014-2020чрез Водено от общностите местно развитие.</w:t>
      </w:r>
    </w:p>
    <w:p w14:paraId="04B1C40D" w14:textId="77777777" w:rsidR="009C0430" w:rsidRDefault="00B27CD4">
      <w:pPr>
        <w:pStyle w:val="2"/>
        <w:numPr>
          <w:ilvl w:val="1"/>
          <w:numId w:val="3"/>
        </w:numPr>
      </w:pPr>
      <w:bookmarkStart w:id="3" w:name="_Toc445385557"/>
      <w:bookmarkStart w:id="4" w:name="_Toc445385303"/>
      <w:bookmarkStart w:id="5" w:name="_Toc488319635"/>
      <w:r>
        <w:t>Обща информация за ОП РЧР 2014-2020 г.</w:t>
      </w:r>
      <w:bookmarkEnd w:id="3"/>
      <w:bookmarkEnd w:id="4"/>
      <w:r>
        <w:t>/ВОМР</w:t>
      </w:r>
      <w:bookmarkEnd w:id="5"/>
    </w:p>
    <w:tbl>
      <w:tblPr>
        <w:tblStyle w:val="afe"/>
        <w:tblW w:w="0" w:type="auto"/>
        <w:tblLook w:val="04A0" w:firstRow="1" w:lastRow="0" w:firstColumn="1" w:lastColumn="0" w:noHBand="0" w:noVBand="1"/>
      </w:tblPr>
      <w:tblGrid>
        <w:gridCol w:w="9496"/>
      </w:tblGrid>
      <w:tr w:rsidR="009C0430" w14:paraId="72DF2476" w14:textId="77777777">
        <w:tc>
          <w:tcPr>
            <w:tcW w:w="9496" w:type="dxa"/>
          </w:tcPr>
          <w:p w14:paraId="32BAE79D"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Оперативна програма „Развитие на човешките ресурси” 2014-2020 г. (ОП РЧР) допринася активно за изпълнението на две от целите на стратегията на ЕС „Европа 2020”. Това са целите в областта на трудовата заетост и борбата с бедността и социалното изключване. </w:t>
            </w:r>
          </w:p>
          <w:p w14:paraId="4754310D"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България, както и останалите държави членки на ЕС, също формулира свои национални цели в изпълнение на стратегията „Европа 2020”, а именно: (1) не по-малко от 76% от населението между 20 и 64-годишна възраст да е в заетост към 2020 г. и (2) намаляване броя на хората в бедност с 260 хиляди души до 2020 г. Постигането на тези цели е от основополагащо значение за визията и стратегията на ОП РЧР.</w:t>
            </w:r>
          </w:p>
          <w:p w14:paraId="03EA9059"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Анализът към 2012 г. от Споразумението за партньорство показа нуждата България да положи значителни усилия, за да постигне заложените цели. </w:t>
            </w:r>
          </w:p>
          <w:p w14:paraId="58B06AE4"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Отчитайки тези предизвикателства, стратегията на ОП РЧР се основава на три стълба. Това са: </w:t>
            </w:r>
          </w:p>
          <w:p w14:paraId="03018E64"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По-висока и по-качествена заетост. </w:t>
            </w:r>
          </w:p>
          <w:p w14:paraId="6DC03278"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Намаляване на бедността и насърчаване на социалното включване. </w:t>
            </w:r>
          </w:p>
          <w:p w14:paraId="015D22E1"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Модернизиране на публичните политики.</w:t>
            </w:r>
          </w:p>
          <w:p w14:paraId="6D0FD0E7"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Подходът ВОМР подпомага повишаването на заетостта и мобилизиране на наличния, но все още неразработен напълно местен потенциал за растеж, което да допринесе за подобряване качеството на живот на населението в обхванатите територии. Цели се подпомагане на нуждаещите се от социална подкрепа и от подкрепа за заетост и предоставяне на нови възможности за подобряване на доходите и стандарта на живот на местните общности.</w:t>
            </w:r>
          </w:p>
          <w:p w14:paraId="12CE0C7B"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сферата на пазара на труда, чрез ОПРЧР, подходът  цели насърчаване на устойчивата и качествена заетост и подкрепа за мобилността на работната сила, както и повишаване квалификацията на населението. Ще се финансират проекти, насочени към включването на групи в неравностойно положение на пазара на труда, предоставяне на инвестиции за предприятията, насочени към подобряване качеството на работните места и квалификацията и уменията на заетите и др. Ще се прилагат мерки за насърчаване на предприемачеството с цел повишаване на самонаемането.</w:t>
            </w:r>
          </w:p>
          <w:p w14:paraId="05C1928B"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 отношение на намаляване на бедността и повишаване на социалното включване, се планира инвестиране в мерки за подобряване достъпа до социални услуги на различни групи социално изключени или в риск от социално изключване лица. Целта е да се подпомогнат най-уязвимите и маргинализираните групи като ромите, хората с </w:t>
            </w:r>
            <w:proofErr w:type="spellStart"/>
            <w:r>
              <w:rPr>
                <w:rFonts w:ascii="Times New Roman" w:eastAsia="Times New Roman" w:hAnsi="Times New Roman" w:cs="Times New Roman"/>
                <w:sz w:val="24"/>
                <w:szCs w:val="24"/>
                <w:lang w:eastAsia="bg-BG"/>
              </w:rPr>
              <w:t>увреждания,лица</w:t>
            </w:r>
            <w:proofErr w:type="spellEnd"/>
            <w:r>
              <w:rPr>
                <w:rFonts w:ascii="Times New Roman" w:eastAsia="Times New Roman" w:hAnsi="Times New Roman" w:cs="Times New Roman"/>
                <w:sz w:val="24"/>
                <w:szCs w:val="24"/>
                <w:lang w:eastAsia="bg-BG"/>
              </w:rPr>
              <w:t>/деца в риск и др., които ще получат достъп до мерки и услуги в съответствие с техните нужди.</w:t>
            </w:r>
          </w:p>
          <w:p w14:paraId="6E1F9963"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Стратегията за водено от общностите местно развитие е формирана на базата на отчетените потребности на местното население, включително потребностите на уязвимите и малцинствени групи, и на формулирания потенциал за развитие на територията на МИГ Мъглиж, Казанлък, Гурково, като стратегическата рамка кореспондира със стратегическите и планови документи на местно, регионално и национално ниво, включително политиките по десегрегация и </w:t>
            </w:r>
            <w:proofErr w:type="spellStart"/>
            <w:r>
              <w:rPr>
                <w:rFonts w:ascii="Times New Roman" w:eastAsia="Times New Roman" w:hAnsi="Times New Roman" w:cs="Times New Roman"/>
                <w:sz w:val="24"/>
                <w:szCs w:val="24"/>
                <w:lang w:eastAsia="bg-BG"/>
              </w:rPr>
              <w:t>деинституционализация</w:t>
            </w:r>
            <w:proofErr w:type="spellEnd"/>
            <w:r>
              <w:rPr>
                <w:rFonts w:ascii="Times New Roman" w:eastAsia="Times New Roman" w:hAnsi="Times New Roman" w:cs="Times New Roman"/>
                <w:sz w:val="24"/>
                <w:szCs w:val="24"/>
                <w:lang w:eastAsia="bg-BG"/>
              </w:rPr>
              <w:t xml:space="preserve">, </w:t>
            </w:r>
            <w:proofErr w:type="spellStart"/>
            <w:r>
              <w:rPr>
                <w:rFonts w:ascii="Times New Roman" w:eastAsia="Times New Roman" w:hAnsi="Times New Roman" w:cs="Times New Roman"/>
                <w:sz w:val="24"/>
                <w:szCs w:val="24"/>
                <w:lang w:eastAsia="bg-BG"/>
              </w:rPr>
              <w:lastRenderedPageBreak/>
              <w:t>мултиплицирайки</w:t>
            </w:r>
            <w:proofErr w:type="spellEnd"/>
            <w:r>
              <w:rPr>
                <w:rFonts w:ascii="Times New Roman" w:eastAsia="Times New Roman" w:hAnsi="Times New Roman" w:cs="Times New Roman"/>
                <w:sz w:val="24"/>
                <w:szCs w:val="24"/>
                <w:lang w:eastAsia="bg-BG"/>
              </w:rPr>
              <w:t xml:space="preserve"> динамиката на намесите и последствията от тях, така че, чрез последователност от </w:t>
            </w:r>
            <w:proofErr w:type="spellStart"/>
            <w:r>
              <w:rPr>
                <w:rFonts w:ascii="Times New Roman" w:eastAsia="Times New Roman" w:hAnsi="Times New Roman" w:cs="Times New Roman"/>
                <w:sz w:val="24"/>
                <w:szCs w:val="24"/>
                <w:lang w:eastAsia="bg-BG"/>
              </w:rPr>
              <w:t>дейности</w:t>
            </w:r>
            <w:proofErr w:type="spellEnd"/>
            <w:r>
              <w:rPr>
                <w:rFonts w:ascii="Times New Roman" w:eastAsia="Times New Roman" w:hAnsi="Times New Roman" w:cs="Times New Roman"/>
                <w:sz w:val="24"/>
                <w:szCs w:val="24"/>
                <w:lang w:eastAsia="bg-BG"/>
              </w:rPr>
              <w:t xml:space="preserve"> подпомагащи развитието, да се положат основите на </w:t>
            </w:r>
            <w:proofErr w:type="spellStart"/>
            <w:r>
              <w:rPr>
                <w:rFonts w:ascii="Times New Roman" w:eastAsia="Times New Roman" w:hAnsi="Times New Roman" w:cs="Times New Roman"/>
                <w:sz w:val="24"/>
                <w:szCs w:val="24"/>
                <w:lang w:eastAsia="bg-BG"/>
              </w:rPr>
              <w:t>устойчиво</w:t>
            </w:r>
            <w:proofErr w:type="spellEnd"/>
            <w:r>
              <w:rPr>
                <w:rFonts w:ascii="Times New Roman" w:eastAsia="Times New Roman" w:hAnsi="Times New Roman" w:cs="Times New Roman"/>
                <w:sz w:val="24"/>
                <w:szCs w:val="24"/>
                <w:lang w:eastAsia="bg-BG"/>
              </w:rPr>
              <w:t xml:space="preserve"> местно развитие.</w:t>
            </w:r>
          </w:p>
          <w:p w14:paraId="4D4C6253"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Необходимо е разширяване на социалните услуги на територията на МИГ - Мъглиж, Казанлък, Гурково в областта на социално-икономическата интеграция на най-маргинализираните общности от населението - представители на ромската общност; хора с произход от други държави; хора в риск и/или жертва на дискриминация и др. </w:t>
            </w:r>
          </w:p>
          <w:p w14:paraId="0664F1A2"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Сред етническите малцинства и най-вече сред ромското население са налице различни фактори, подхранващи бедността - ранно отпадане от училище, ниско образование, трайна безработица и липса на трудови навици, ограничени възможности за заетост, лоши битови условия, липса на достъп до здравни, социални и образователни услуги. Допълнителен фактор, който подсилва социалната изолация е струпването на по-голямата част от тази малцинствена група в обособени ромски квартали. Тези квартали са районите с най-голям относителен дял на непълнолетни майки, деца, настанени в институции и деца с риск от отпадане от училищното образование. В тази група попадат семейства в неравностойно положение, чиито деца рискуват да повторят модела на социална изолация на своите родители. За да се разбие този затворен цикъл е необходима комплексна интервенция насочена срещу бедността, която да подпомогне семействата да осигурят шансове за социално включване и развитие на своите деца.</w:t>
            </w:r>
          </w:p>
          <w:p w14:paraId="69968168"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На територията на МИГ - Мъглиж, Казанлък, </w:t>
            </w:r>
            <w:proofErr w:type="spellStart"/>
            <w:r>
              <w:rPr>
                <w:rFonts w:ascii="Times New Roman" w:eastAsia="Times New Roman" w:hAnsi="Times New Roman" w:cs="Times New Roman"/>
                <w:sz w:val="24"/>
                <w:szCs w:val="24"/>
                <w:lang w:eastAsia="bg-BG"/>
              </w:rPr>
              <w:t>Гуркововсяка</w:t>
            </w:r>
            <w:proofErr w:type="spellEnd"/>
            <w:r>
              <w:rPr>
                <w:rFonts w:ascii="Times New Roman" w:eastAsia="Times New Roman" w:hAnsi="Times New Roman" w:cs="Times New Roman"/>
                <w:sz w:val="24"/>
                <w:szCs w:val="24"/>
                <w:lang w:eastAsia="bg-BG"/>
              </w:rPr>
              <w:t xml:space="preserve"> година се увеличава притокът на мигранти от руски произход. Тази малцинствена група се сблъска най-вече с административни трудности при преместването си в България, както изпитва трудности и при преодоляване на езиковата бариера. Широко прието е разбирането, че придобиването на езикови умения е от решаващо значение за интеграцията. Усъвършенстваните езикови умения осигуряват по-добри възможности за работа, независимост и участие на жените мигранти в пазара на труда.</w:t>
            </w:r>
          </w:p>
          <w:p w14:paraId="4DEF5D67"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Чрез Стратегията за водено от общностите местно развитие на МИГ - Мъглиж, Казанлък, Гурково ще се   подкрепят </w:t>
            </w:r>
            <w:proofErr w:type="spellStart"/>
            <w:r>
              <w:rPr>
                <w:rFonts w:ascii="Times New Roman" w:eastAsia="Times New Roman" w:hAnsi="Times New Roman" w:cs="Times New Roman"/>
                <w:sz w:val="24"/>
                <w:szCs w:val="24"/>
                <w:lang w:eastAsia="bg-BG"/>
              </w:rPr>
              <w:t>дейности</w:t>
            </w:r>
            <w:proofErr w:type="spellEnd"/>
            <w:r>
              <w:rPr>
                <w:rFonts w:ascii="Times New Roman" w:eastAsia="Times New Roman" w:hAnsi="Times New Roman" w:cs="Times New Roman"/>
                <w:sz w:val="24"/>
                <w:szCs w:val="24"/>
                <w:lang w:eastAsia="bg-BG"/>
              </w:rPr>
              <w:t xml:space="preserve"> както в направленията за подобряване достъпа до заетост, образование, социални и здравни услуги, така и за развитие на местните общности и преодоляване на негативните стереотипи спрямо лицата от маргинализирани общности.</w:t>
            </w:r>
          </w:p>
        </w:tc>
      </w:tr>
    </w:tbl>
    <w:p w14:paraId="7586C038" w14:textId="77777777" w:rsidR="009C0430" w:rsidRDefault="00B27CD4">
      <w:pPr>
        <w:pStyle w:val="1"/>
      </w:pPr>
      <w:bookmarkStart w:id="6" w:name="_Toc488319636"/>
      <w:bookmarkStart w:id="7" w:name="_Toc445385563"/>
      <w:r>
        <w:lastRenderedPageBreak/>
        <w:t>2. Наименование на приоритетната ос:</w:t>
      </w:r>
      <w:bookmarkEnd w:id="6"/>
      <w:bookmarkEnd w:id="7"/>
    </w:p>
    <w:p w14:paraId="4D892033" w14:textId="77777777" w:rsidR="009C0430" w:rsidRDefault="00B27CD4">
      <w:pPr>
        <w:pStyle w:val="a0"/>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r>
        <w:rPr>
          <w:rFonts w:ascii="Times New Roman" w:hAnsi="Times New Roman" w:cs="Times New Roman"/>
          <w:b/>
          <w:caps/>
          <w:sz w:val="24"/>
          <w:szCs w:val="24"/>
        </w:rPr>
        <w:t>Приоритетна ос № 2:</w:t>
      </w:r>
    </w:p>
    <w:p w14:paraId="20A5281C" w14:textId="77777777" w:rsidR="009C0430" w:rsidRDefault="00B27CD4">
      <w:pPr>
        <w:pStyle w:val="a0"/>
        <w:pBdr>
          <w:top w:val="single" w:sz="4" w:space="1" w:color="auto"/>
          <w:left w:val="single" w:sz="4" w:space="4" w:color="auto"/>
          <w:bottom w:val="single" w:sz="4" w:space="1" w:color="auto"/>
          <w:right w:val="single" w:sz="4" w:space="4" w:color="auto"/>
        </w:pBdr>
        <w:spacing w:before="120" w:after="120" w:line="360" w:lineRule="auto"/>
        <w:ind w:left="0"/>
        <w:jc w:val="both"/>
        <w:rPr>
          <w:rFonts w:ascii="Times New Roman" w:hAnsi="Times New Roman" w:cs="Times New Roman"/>
          <w:b/>
          <w:sz w:val="24"/>
          <w:szCs w:val="24"/>
        </w:rPr>
      </w:pPr>
      <w:r>
        <w:rPr>
          <w:rFonts w:ascii="Times New Roman" w:hAnsi="Times New Roman" w:cs="Times New Roman"/>
          <w:b/>
          <w:sz w:val="24"/>
          <w:szCs w:val="24"/>
        </w:rPr>
        <w:t>Намаляване на бедността и насърчаване на социалното включване.</w:t>
      </w:r>
    </w:p>
    <w:p w14:paraId="7B007D01" w14:textId="77777777" w:rsidR="009C0430" w:rsidRDefault="00B27CD4">
      <w:pPr>
        <w:pStyle w:val="a0"/>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sz w:val="24"/>
          <w:szCs w:val="24"/>
        </w:rPr>
      </w:pPr>
      <w:r>
        <w:rPr>
          <w:rFonts w:ascii="Times New Roman" w:hAnsi="Times New Roman" w:cs="Times New Roman"/>
          <w:b/>
          <w:sz w:val="24"/>
          <w:szCs w:val="24"/>
          <w:u w:val="single"/>
        </w:rPr>
        <w:t>Инвестиционен приоритет № 1:</w:t>
      </w:r>
      <w:r>
        <w:rPr>
          <w:rFonts w:ascii="Times New Roman" w:hAnsi="Times New Roman" w:cs="Times New Roman"/>
          <w:sz w:val="24"/>
          <w:szCs w:val="24"/>
        </w:rPr>
        <w:t>„Социално-икономическа интеграция на маргинализирани общности като ромите”</w:t>
      </w:r>
    </w:p>
    <w:p w14:paraId="5CC89077" w14:textId="77777777" w:rsidR="009C0430" w:rsidRDefault="00B27CD4">
      <w:pPr>
        <w:pStyle w:val="a0"/>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r>
        <w:rPr>
          <w:rFonts w:ascii="Times New Roman" w:hAnsi="Times New Roman" w:cs="Times New Roman"/>
          <w:sz w:val="24"/>
          <w:szCs w:val="24"/>
          <w:u w:val="single"/>
        </w:rPr>
        <w:t>Специфична цел 1:</w:t>
      </w:r>
      <w:r>
        <w:rPr>
          <w:rFonts w:ascii="Times New Roman" w:hAnsi="Times New Roman" w:cs="Times New Roman"/>
          <w:sz w:val="24"/>
          <w:szCs w:val="24"/>
        </w:rPr>
        <w:t>Увеличаване на броя на лицата от уязвими етнически общности, включени в заетост, образование, обучение, социални и здравни услуги с фокус върху ромите, мигранти, участници с произход от други държави.</w:t>
      </w:r>
    </w:p>
    <w:p w14:paraId="155AFDE0" w14:textId="77777777" w:rsidR="009C0430" w:rsidRDefault="00B27CD4">
      <w:pPr>
        <w:pStyle w:val="1"/>
      </w:pPr>
      <w:bookmarkStart w:id="8" w:name="_Toc488319637"/>
      <w:bookmarkStart w:id="9" w:name="_Toc445385564"/>
      <w:r>
        <w:t>3. Наименование на процедурата:</w:t>
      </w:r>
      <w:bookmarkEnd w:id="8"/>
      <w:bookmarkEnd w:id="9"/>
    </w:p>
    <w:p w14:paraId="5ECA2947" w14:textId="77777777" w:rsidR="009C0430" w:rsidRDefault="00B27CD4">
      <w:pPr>
        <w:pStyle w:val="a0"/>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r>
        <w:rPr>
          <w:rFonts w:ascii="Times New Roman" w:hAnsi="Times New Roman" w:cs="Times New Roman"/>
          <w:b/>
          <w:sz w:val="24"/>
          <w:szCs w:val="24"/>
        </w:rPr>
        <w:t>BG05M9OP001-2.102“ МИГ - Мъглиж, Казанлък, Гурково-"Намаляване на бедността и насърчаване на социалното включване”</w:t>
      </w:r>
    </w:p>
    <w:p w14:paraId="0C9E7DC2" w14:textId="77777777" w:rsidR="009C0430" w:rsidRDefault="00B27CD4">
      <w:pPr>
        <w:pStyle w:val="1"/>
      </w:pPr>
      <w:bookmarkStart w:id="10" w:name="_Toc488319638"/>
      <w:bookmarkStart w:id="11" w:name="_Toc445385565"/>
      <w:r>
        <w:lastRenderedPageBreak/>
        <w:t>4. Измерения по кодове</w:t>
      </w:r>
      <w:r>
        <w:rPr>
          <w:rStyle w:val="afb"/>
          <w:b w:val="0"/>
        </w:rPr>
        <w:footnoteReference w:id="1"/>
      </w:r>
      <w:r>
        <w:t>:</w:t>
      </w:r>
      <w:bookmarkEnd w:id="10"/>
      <w:bookmarkEnd w:id="11"/>
    </w:p>
    <w:tbl>
      <w:tblPr>
        <w:tblStyle w:val="afe"/>
        <w:tblW w:w="9606" w:type="dxa"/>
        <w:tblLook w:val="04A0" w:firstRow="1" w:lastRow="0" w:firstColumn="1" w:lastColumn="0" w:noHBand="0" w:noVBand="1"/>
      </w:tblPr>
      <w:tblGrid>
        <w:gridCol w:w="9606"/>
      </w:tblGrid>
      <w:tr w:rsidR="009C0430" w14:paraId="2A88C8DC" w14:textId="77777777">
        <w:tc>
          <w:tcPr>
            <w:tcW w:w="9606" w:type="dxa"/>
          </w:tcPr>
          <w:p w14:paraId="374B43B5"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xml:space="preserve">Измерение 1 – Област на </w:t>
            </w:r>
            <w:proofErr w:type="spellStart"/>
            <w:r>
              <w:rPr>
                <w:rFonts w:ascii="Times New Roman" w:eastAsia="Times New Roman" w:hAnsi="Times New Roman" w:cs="Times New Roman"/>
                <w:b/>
                <w:sz w:val="24"/>
                <w:szCs w:val="24"/>
                <w:lang w:eastAsia="bg-BG"/>
              </w:rPr>
              <w:t>интервенция:код</w:t>
            </w:r>
            <w:proofErr w:type="spellEnd"/>
            <w:r>
              <w:rPr>
                <w:rFonts w:ascii="Times New Roman" w:eastAsia="Times New Roman" w:hAnsi="Times New Roman" w:cs="Times New Roman"/>
                <w:b/>
                <w:sz w:val="24"/>
                <w:szCs w:val="24"/>
                <w:lang w:eastAsia="bg-BG"/>
              </w:rPr>
              <w:t xml:space="preserve"> 110</w:t>
            </w:r>
          </w:p>
          <w:p w14:paraId="5D71547D"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Измерение 2 – Форма на финансиране: код 01</w:t>
            </w:r>
          </w:p>
          <w:p w14:paraId="5FC3222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Измерение 3 – Вид територия: код 07</w:t>
            </w:r>
          </w:p>
          <w:p w14:paraId="5C028E88"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Измерение 4 – Териториални механизми за изпълнение: код 06</w:t>
            </w:r>
          </w:p>
          <w:p w14:paraId="6922D91C" w14:textId="77777777" w:rsidR="009C0430" w:rsidRDefault="00B27CD4">
            <w:pPr>
              <w:pStyle w:val="a0"/>
              <w:spacing w:before="120" w:after="120"/>
              <w:ind w:left="0"/>
              <w:contextualSpacing w:val="0"/>
              <w:jc w:val="both"/>
              <w:rPr>
                <w:rFonts w:ascii="Times New Roman" w:eastAsia="Times New Roman" w:hAnsi="Times New Roman" w:cs="Times New Roman"/>
                <w:sz w:val="20"/>
                <w:szCs w:val="20"/>
                <w:lang w:eastAsia="bg-BG"/>
              </w:rPr>
            </w:pPr>
            <w:r>
              <w:rPr>
                <w:rFonts w:ascii="Times New Roman" w:eastAsia="Times New Roman" w:hAnsi="Times New Roman" w:cs="Times New Roman"/>
                <w:b/>
                <w:sz w:val="24"/>
                <w:szCs w:val="24"/>
                <w:lang w:eastAsia="bg-BG"/>
              </w:rPr>
              <w:t>Измерение 6 Вторична тема по ЕСФ: код 08</w:t>
            </w:r>
          </w:p>
          <w:p w14:paraId="78F001FA" w14:textId="77777777" w:rsidR="009C0430" w:rsidRDefault="00B27CD4">
            <w:pPr>
              <w:pStyle w:val="a0"/>
              <w:spacing w:before="120" w:after="120"/>
              <w:ind w:left="0"/>
              <w:contextualSpacing w:val="0"/>
              <w:jc w:val="both"/>
              <w:rPr>
                <w:rFonts w:ascii="Times New Roman" w:eastAsia="Times New Roman" w:hAnsi="Times New Roman" w:cs="Times New Roman"/>
                <w:sz w:val="20"/>
                <w:szCs w:val="20"/>
                <w:lang w:eastAsia="bg-BG"/>
              </w:rPr>
            </w:pPr>
            <w:r>
              <w:rPr>
                <w:rFonts w:ascii="Times New Roman" w:eastAsia="Times New Roman" w:hAnsi="Times New Roman" w:cs="Times New Roman"/>
                <w:b/>
                <w:sz w:val="24"/>
                <w:szCs w:val="24"/>
                <w:lang w:eastAsia="bg-BG"/>
              </w:rPr>
              <w:t>Измерение 7 Икономическа дейност: код 21, код 24</w:t>
            </w:r>
          </w:p>
        </w:tc>
      </w:tr>
    </w:tbl>
    <w:p w14:paraId="5C8E6F45" w14:textId="77777777" w:rsidR="009C0430" w:rsidRDefault="00B27CD4">
      <w:pPr>
        <w:pStyle w:val="1"/>
      </w:pPr>
      <w:bookmarkStart w:id="12" w:name="_Toc488319639"/>
      <w:bookmarkStart w:id="13" w:name="_Toc445385566"/>
      <w:r>
        <w:t>5. Териториален обхват:</w:t>
      </w:r>
      <w:bookmarkEnd w:id="12"/>
      <w:bookmarkEnd w:id="13"/>
    </w:p>
    <w:p w14:paraId="5F4F919E" w14:textId="77777777" w:rsidR="009C0430" w:rsidRDefault="00B27CD4">
      <w:pPr>
        <w:pStyle w:val="a0"/>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bCs/>
          <w:sz w:val="24"/>
          <w:szCs w:val="24"/>
        </w:rPr>
      </w:pPr>
      <w:r>
        <w:rPr>
          <w:rFonts w:ascii="Times New Roman" w:hAnsi="Times New Roman"/>
          <w:sz w:val="24"/>
          <w:szCs w:val="24"/>
        </w:rPr>
        <w:t>В териториалния обхват на МИГ „Мъглиж, Казанлък, Гурково“ са включени 3 административно обособени териториални единици - това</w:t>
      </w:r>
      <w:r>
        <w:rPr>
          <w:rFonts w:ascii="Times New Roman" w:hAnsi="Times New Roman"/>
          <w:bCs/>
          <w:sz w:val="24"/>
          <w:szCs w:val="24"/>
        </w:rPr>
        <w:t xml:space="preserve"> са община Мъглиж, община Гурково</w:t>
      </w:r>
      <w:r>
        <w:rPr>
          <w:rFonts w:ascii="Times New Roman" w:hAnsi="Times New Roman"/>
          <w:sz w:val="24"/>
          <w:szCs w:val="24"/>
        </w:rPr>
        <w:t xml:space="preserve"> и</w:t>
      </w:r>
      <w:r>
        <w:rPr>
          <w:rFonts w:ascii="Times New Roman" w:hAnsi="Times New Roman"/>
          <w:bCs/>
          <w:sz w:val="24"/>
          <w:szCs w:val="24"/>
        </w:rPr>
        <w:t xml:space="preserve"> Община Казанлък </w:t>
      </w:r>
      <w:r>
        <w:rPr>
          <w:rFonts w:ascii="Times New Roman" w:hAnsi="Times New Roman"/>
          <w:b/>
          <w:bCs/>
          <w:sz w:val="24"/>
          <w:szCs w:val="24"/>
          <w:u w:val="single"/>
        </w:rPr>
        <w:t>извън строителните  граници на гр. Казанлък</w:t>
      </w:r>
      <w:r>
        <w:rPr>
          <w:rFonts w:ascii="Times New Roman" w:hAnsi="Times New Roman"/>
          <w:bCs/>
          <w:sz w:val="24"/>
          <w:szCs w:val="24"/>
        </w:rPr>
        <w:t>.</w:t>
      </w:r>
    </w:p>
    <w:p w14:paraId="0A92354A" w14:textId="77777777" w:rsidR="009C0430" w:rsidRDefault="00B27CD4">
      <w:pPr>
        <w:pStyle w:val="a0"/>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bCs/>
          <w:sz w:val="24"/>
          <w:szCs w:val="24"/>
        </w:rPr>
      </w:pPr>
      <w:r>
        <w:rPr>
          <w:rFonts w:ascii="Times New Roman" w:hAnsi="Times New Roman"/>
          <w:b/>
          <w:sz w:val="24"/>
          <w:szCs w:val="24"/>
          <w:u w:val="single"/>
        </w:rPr>
        <w:t>Дейностите по проектите следва да се изпълняват на територията на</w:t>
      </w:r>
      <w:r>
        <w:rPr>
          <w:rFonts w:ascii="Times New Roman" w:hAnsi="Times New Roman"/>
          <w:sz w:val="24"/>
          <w:szCs w:val="24"/>
        </w:rPr>
        <w:t xml:space="preserve"> общините Мъглиж, Казанлък и Гурково и включва следните населени </w:t>
      </w:r>
      <w:proofErr w:type="spellStart"/>
      <w:r>
        <w:rPr>
          <w:rFonts w:ascii="Times New Roman" w:hAnsi="Times New Roman"/>
          <w:sz w:val="24"/>
          <w:szCs w:val="24"/>
        </w:rPr>
        <w:t>места:гр</w:t>
      </w:r>
      <w:proofErr w:type="spellEnd"/>
      <w:r>
        <w:rPr>
          <w:rFonts w:ascii="Times New Roman" w:hAnsi="Times New Roman"/>
          <w:sz w:val="24"/>
          <w:szCs w:val="24"/>
        </w:rPr>
        <w:t xml:space="preserve">. Мъглиж, гр. Гурково, гр. Крън, гр. Шипка, с. Борущица, с. Бънзарето, с. Ветрен, с. Дъбово, с. Държавен, с. Зимница, с. Радунци, с. Селце, с. Сливито, с. Тулово, с. Шаново, с. Юлиево, с. Яворовец, с. Ягода, с. Брестова,  </w:t>
      </w:r>
      <w:proofErr w:type="spellStart"/>
      <w:r>
        <w:rPr>
          <w:rFonts w:ascii="Times New Roman" w:hAnsi="Times New Roman"/>
          <w:sz w:val="24"/>
          <w:szCs w:val="24"/>
        </w:rPr>
        <w:t>с.Дворище</w:t>
      </w:r>
      <w:proofErr w:type="spellEnd"/>
      <w:r>
        <w:rPr>
          <w:rFonts w:ascii="Times New Roman" w:hAnsi="Times New Roman"/>
          <w:sz w:val="24"/>
          <w:szCs w:val="24"/>
        </w:rPr>
        <w:t xml:space="preserve">, </w:t>
      </w:r>
      <w:proofErr w:type="spellStart"/>
      <w:r>
        <w:rPr>
          <w:rFonts w:ascii="Times New Roman" w:hAnsi="Times New Roman"/>
          <w:sz w:val="24"/>
          <w:szCs w:val="24"/>
        </w:rPr>
        <w:t>с.Димовци</w:t>
      </w:r>
      <w:proofErr w:type="spellEnd"/>
      <w:r>
        <w:rPr>
          <w:rFonts w:ascii="Times New Roman" w:hAnsi="Times New Roman"/>
          <w:sz w:val="24"/>
          <w:szCs w:val="24"/>
        </w:rPr>
        <w:t xml:space="preserve">, </w:t>
      </w:r>
      <w:proofErr w:type="spellStart"/>
      <w:r>
        <w:rPr>
          <w:rFonts w:ascii="Times New Roman" w:hAnsi="Times New Roman"/>
          <w:sz w:val="24"/>
          <w:szCs w:val="24"/>
        </w:rPr>
        <w:t>с.Паничерево</w:t>
      </w:r>
      <w:proofErr w:type="spellEnd"/>
      <w:r>
        <w:rPr>
          <w:rFonts w:ascii="Times New Roman" w:hAnsi="Times New Roman"/>
          <w:sz w:val="24"/>
          <w:szCs w:val="24"/>
        </w:rPr>
        <w:t xml:space="preserve">, </w:t>
      </w:r>
      <w:proofErr w:type="spellStart"/>
      <w:r>
        <w:rPr>
          <w:rFonts w:ascii="Times New Roman" w:hAnsi="Times New Roman"/>
          <w:sz w:val="24"/>
          <w:szCs w:val="24"/>
        </w:rPr>
        <w:t>с.Жерговец</w:t>
      </w:r>
      <w:proofErr w:type="spellEnd"/>
      <w:r>
        <w:rPr>
          <w:rFonts w:ascii="Times New Roman" w:hAnsi="Times New Roman"/>
          <w:sz w:val="24"/>
          <w:szCs w:val="24"/>
        </w:rPr>
        <w:t xml:space="preserve">, </w:t>
      </w:r>
      <w:proofErr w:type="spellStart"/>
      <w:r>
        <w:rPr>
          <w:rFonts w:ascii="Times New Roman" w:hAnsi="Times New Roman"/>
          <w:sz w:val="24"/>
          <w:szCs w:val="24"/>
        </w:rPr>
        <w:t>с.Жълтопоп</w:t>
      </w:r>
      <w:proofErr w:type="spellEnd"/>
      <w:r>
        <w:rPr>
          <w:rFonts w:ascii="Times New Roman" w:hAnsi="Times New Roman"/>
          <w:sz w:val="24"/>
          <w:szCs w:val="24"/>
        </w:rPr>
        <w:t xml:space="preserve">, </w:t>
      </w:r>
      <w:proofErr w:type="spellStart"/>
      <w:r>
        <w:rPr>
          <w:rFonts w:ascii="Times New Roman" w:hAnsi="Times New Roman"/>
          <w:sz w:val="24"/>
          <w:szCs w:val="24"/>
        </w:rPr>
        <w:t>с.Златирът</w:t>
      </w:r>
      <w:proofErr w:type="spellEnd"/>
      <w:r>
        <w:rPr>
          <w:rFonts w:ascii="Times New Roman" w:hAnsi="Times New Roman"/>
          <w:sz w:val="24"/>
          <w:szCs w:val="24"/>
        </w:rPr>
        <w:t xml:space="preserve">, </w:t>
      </w:r>
      <w:proofErr w:type="spellStart"/>
      <w:r>
        <w:rPr>
          <w:rFonts w:ascii="Times New Roman" w:hAnsi="Times New Roman"/>
          <w:sz w:val="24"/>
          <w:szCs w:val="24"/>
        </w:rPr>
        <w:t>с.Конаре</w:t>
      </w:r>
      <w:proofErr w:type="spellEnd"/>
      <w:r>
        <w:rPr>
          <w:rFonts w:ascii="Times New Roman" w:hAnsi="Times New Roman"/>
          <w:sz w:val="24"/>
          <w:szCs w:val="24"/>
        </w:rPr>
        <w:t xml:space="preserve">, </w:t>
      </w:r>
      <w:proofErr w:type="spellStart"/>
      <w:r>
        <w:rPr>
          <w:rFonts w:ascii="Times New Roman" w:hAnsi="Times New Roman"/>
          <w:sz w:val="24"/>
          <w:szCs w:val="24"/>
        </w:rPr>
        <w:t>с.Лява</w:t>
      </w:r>
      <w:proofErr w:type="spellEnd"/>
      <w:r>
        <w:rPr>
          <w:rFonts w:ascii="Times New Roman" w:hAnsi="Times New Roman"/>
          <w:sz w:val="24"/>
          <w:szCs w:val="24"/>
        </w:rPr>
        <w:t xml:space="preserve"> река, </w:t>
      </w:r>
      <w:proofErr w:type="spellStart"/>
      <w:r>
        <w:rPr>
          <w:rFonts w:ascii="Times New Roman" w:hAnsi="Times New Roman"/>
          <w:sz w:val="24"/>
          <w:szCs w:val="24"/>
        </w:rPr>
        <w:t>с.Пчелиново</w:t>
      </w:r>
      <w:proofErr w:type="spellEnd"/>
      <w:r>
        <w:rPr>
          <w:rFonts w:ascii="Times New Roman" w:hAnsi="Times New Roman"/>
          <w:sz w:val="24"/>
          <w:szCs w:val="24"/>
        </w:rPr>
        <w:t xml:space="preserve">, </w:t>
      </w:r>
      <w:proofErr w:type="spellStart"/>
      <w:r>
        <w:rPr>
          <w:rFonts w:ascii="Times New Roman" w:hAnsi="Times New Roman"/>
          <w:sz w:val="24"/>
          <w:szCs w:val="24"/>
        </w:rPr>
        <w:t>с.Бузовград</w:t>
      </w:r>
      <w:proofErr w:type="spellEnd"/>
      <w:r>
        <w:rPr>
          <w:rFonts w:ascii="Times New Roman" w:hAnsi="Times New Roman"/>
          <w:sz w:val="24"/>
          <w:szCs w:val="24"/>
        </w:rPr>
        <w:t xml:space="preserve">, </w:t>
      </w:r>
      <w:proofErr w:type="spellStart"/>
      <w:r>
        <w:rPr>
          <w:rFonts w:ascii="Times New Roman" w:hAnsi="Times New Roman"/>
          <w:sz w:val="24"/>
          <w:szCs w:val="24"/>
        </w:rPr>
        <w:t>с.Голямо</w:t>
      </w:r>
      <w:proofErr w:type="spellEnd"/>
      <w:r>
        <w:rPr>
          <w:rFonts w:ascii="Times New Roman" w:hAnsi="Times New Roman"/>
          <w:sz w:val="24"/>
          <w:szCs w:val="24"/>
        </w:rPr>
        <w:t xml:space="preserve"> Дряново, </w:t>
      </w:r>
      <w:proofErr w:type="spellStart"/>
      <w:r>
        <w:rPr>
          <w:rFonts w:ascii="Times New Roman" w:hAnsi="Times New Roman"/>
          <w:sz w:val="24"/>
          <w:szCs w:val="24"/>
        </w:rPr>
        <w:t>с.Горно</w:t>
      </w:r>
      <w:proofErr w:type="spellEnd"/>
      <w:r>
        <w:rPr>
          <w:rFonts w:ascii="Times New Roman" w:hAnsi="Times New Roman"/>
          <w:sz w:val="24"/>
          <w:szCs w:val="24"/>
        </w:rPr>
        <w:t xml:space="preserve"> Изворово, </w:t>
      </w:r>
      <w:proofErr w:type="spellStart"/>
      <w:r>
        <w:rPr>
          <w:rFonts w:ascii="Times New Roman" w:hAnsi="Times New Roman"/>
          <w:sz w:val="24"/>
          <w:szCs w:val="24"/>
        </w:rPr>
        <w:t>с.Долно</w:t>
      </w:r>
      <w:proofErr w:type="spellEnd"/>
      <w:r>
        <w:rPr>
          <w:rFonts w:ascii="Times New Roman" w:hAnsi="Times New Roman"/>
          <w:sz w:val="24"/>
          <w:szCs w:val="24"/>
        </w:rPr>
        <w:t xml:space="preserve"> Изворово, </w:t>
      </w:r>
      <w:proofErr w:type="spellStart"/>
      <w:r>
        <w:rPr>
          <w:rFonts w:ascii="Times New Roman" w:hAnsi="Times New Roman"/>
          <w:sz w:val="24"/>
          <w:szCs w:val="24"/>
        </w:rPr>
        <w:t>с.Дунавци</w:t>
      </w:r>
      <w:proofErr w:type="spellEnd"/>
      <w:r>
        <w:rPr>
          <w:rFonts w:ascii="Times New Roman" w:hAnsi="Times New Roman"/>
          <w:sz w:val="24"/>
          <w:szCs w:val="24"/>
        </w:rPr>
        <w:t xml:space="preserve">, </w:t>
      </w:r>
      <w:proofErr w:type="spellStart"/>
      <w:r>
        <w:rPr>
          <w:rFonts w:ascii="Times New Roman" w:hAnsi="Times New Roman"/>
          <w:sz w:val="24"/>
          <w:szCs w:val="24"/>
        </w:rPr>
        <w:t>с.Енина</w:t>
      </w:r>
      <w:proofErr w:type="spellEnd"/>
      <w:r>
        <w:rPr>
          <w:rFonts w:ascii="Times New Roman" w:hAnsi="Times New Roman"/>
          <w:sz w:val="24"/>
          <w:szCs w:val="24"/>
        </w:rPr>
        <w:t xml:space="preserve">, </w:t>
      </w:r>
      <w:proofErr w:type="spellStart"/>
      <w:r>
        <w:rPr>
          <w:rFonts w:ascii="Times New Roman" w:hAnsi="Times New Roman"/>
          <w:sz w:val="24"/>
          <w:szCs w:val="24"/>
        </w:rPr>
        <w:t>с.Копринка</w:t>
      </w:r>
      <w:proofErr w:type="spellEnd"/>
      <w:r>
        <w:rPr>
          <w:rFonts w:ascii="Times New Roman" w:hAnsi="Times New Roman"/>
          <w:sz w:val="24"/>
          <w:szCs w:val="24"/>
        </w:rPr>
        <w:t xml:space="preserve">, </w:t>
      </w:r>
      <w:proofErr w:type="spellStart"/>
      <w:r>
        <w:rPr>
          <w:rFonts w:ascii="Times New Roman" w:hAnsi="Times New Roman"/>
          <w:sz w:val="24"/>
          <w:szCs w:val="24"/>
        </w:rPr>
        <w:t>с.Кънчево</w:t>
      </w:r>
      <w:proofErr w:type="spellEnd"/>
      <w:r>
        <w:rPr>
          <w:rFonts w:ascii="Times New Roman" w:hAnsi="Times New Roman"/>
          <w:sz w:val="24"/>
          <w:szCs w:val="24"/>
        </w:rPr>
        <w:t xml:space="preserve">, </w:t>
      </w:r>
      <w:proofErr w:type="spellStart"/>
      <w:r>
        <w:rPr>
          <w:rFonts w:ascii="Times New Roman" w:hAnsi="Times New Roman"/>
          <w:sz w:val="24"/>
          <w:szCs w:val="24"/>
        </w:rPr>
        <w:t>с.Горно</w:t>
      </w:r>
      <w:proofErr w:type="spellEnd"/>
      <w:r>
        <w:rPr>
          <w:rFonts w:ascii="Times New Roman" w:hAnsi="Times New Roman"/>
          <w:sz w:val="24"/>
          <w:szCs w:val="24"/>
        </w:rPr>
        <w:t xml:space="preserve"> Черковище, </w:t>
      </w:r>
      <w:proofErr w:type="spellStart"/>
      <w:r>
        <w:rPr>
          <w:rFonts w:ascii="Times New Roman" w:hAnsi="Times New Roman"/>
          <w:sz w:val="24"/>
          <w:szCs w:val="24"/>
        </w:rPr>
        <w:t>с.Овощник</w:t>
      </w:r>
      <w:proofErr w:type="spellEnd"/>
      <w:r>
        <w:rPr>
          <w:rFonts w:ascii="Times New Roman" w:hAnsi="Times New Roman"/>
          <w:sz w:val="24"/>
          <w:szCs w:val="24"/>
        </w:rPr>
        <w:t xml:space="preserve">, </w:t>
      </w:r>
      <w:proofErr w:type="spellStart"/>
      <w:r>
        <w:rPr>
          <w:rFonts w:ascii="Times New Roman" w:hAnsi="Times New Roman"/>
          <w:sz w:val="24"/>
          <w:szCs w:val="24"/>
        </w:rPr>
        <w:t>с.Розово</w:t>
      </w:r>
      <w:proofErr w:type="spellEnd"/>
      <w:r>
        <w:rPr>
          <w:rFonts w:ascii="Times New Roman" w:hAnsi="Times New Roman"/>
          <w:sz w:val="24"/>
          <w:szCs w:val="24"/>
        </w:rPr>
        <w:t xml:space="preserve">, </w:t>
      </w:r>
      <w:proofErr w:type="spellStart"/>
      <w:r>
        <w:rPr>
          <w:rFonts w:ascii="Times New Roman" w:hAnsi="Times New Roman"/>
          <w:sz w:val="24"/>
          <w:szCs w:val="24"/>
        </w:rPr>
        <w:t>с.Ръжена</w:t>
      </w:r>
      <w:proofErr w:type="spellEnd"/>
      <w:r>
        <w:rPr>
          <w:rFonts w:ascii="Times New Roman" w:hAnsi="Times New Roman"/>
          <w:sz w:val="24"/>
          <w:szCs w:val="24"/>
        </w:rPr>
        <w:t xml:space="preserve">, </w:t>
      </w:r>
      <w:proofErr w:type="spellStart"/>
      <w:r>
        <w:rPr>
          <w:rFonts w:ascii="Times New Roman" w:hAnsi="Times New Roman"/>
          <w:sz w:val="24"/>
          <w:szCs w:val="24"/>
        </w:rPr>
        <w:t>с.Средногорово,с.Хаджидимитрово</w:t>
      </w:r>
      <w:proofErr w:type="spellEnd"/>
      <w:r>
        <w:rPr>
          <w:rFonts w:ascii="Times New Roman" w:hAnsi="Times New Roman"/>
          <w:sz w:val="24"/>
          <w:szCs w:val="24"/>
        </w:rPr>
        <w:t xml:space="preserve">, </w:t>
      </w:r>
      <w:proofErr w:type="spellStart"/>
      <w:r>
        <w:rPr>
          <w:rFonts w:ascii="Times New Roman" w:hAnsi="Times New Roman"/>
          <w:sz w:val="24"/>
          <w:szCs w:val="24"/>
        </w:rPr>
        <w:t>с.Черганово</w:t>
      </w:r>
      <w:proofErr w:type="spellEnd"/>
      <w:r>
        <w:rPr>
          <w:rFonts w:ascii="Times New Roman" w:hAnsi="Times New Roman"/>
          <w:sz w:val="24"/>
          <w:szCs w:val="24"/>
        </w:rPr>
        <w:t xml:space="preserve">, </w:t>
      </w:r>
      <w:proofErr w:type="spellStart"/>
      <w:r>
        <w:rPr>
          <w:rFonts w:ascii="Times New Roman" w:hAnsi="Times New Roman"/>
          <w:sz w:val="24"/>
          <w:szCs w:val="24"/>
        </w:rPr>
        <w:t>с.Шейново</w:t>
      </w:r>
      <w:proofErr w:type="spellEnd"/>
      <w:r>
        <w:rPr>
          <w:rFonts w:ascii="Times New Roman" w:hAnsi="Times New Roman"/>
          <w:sz w:val="24"/>
          <w:szCs w:val="24"/>
        </w:rPr>
        <w:t xml:space="preserve">, </w:t>
      </w:r>
      <w:proofErr w:type="spellStart"/>
      <w:r>
        <w:rPr>
          <w:rFonts w:ascii="Times New Roman" w:hAnsi="Times New Roman"/>
          <w:sz w:val="24"/>
          <w:szCs w:val="24"/>
        </w:rPr>
        <w:t>с.Ясеново</w:t>
      </w:r>
      <w:proofErr w:type="spellEnd"/>
      <w:r>
        <w:rPr>
          <w:rFonts w:ascii="Times New Roman" w:hAnsi="Times New Roman" w:cs="Times New Roman"/>
          <w:bCs/>
          <w:sz w:val="24"/>
          <w:szCs w:val="24"/>
        </w:rPr>
        <w:t>.</w:t>
      </w:r>
    </w:p>
    <w:p w14:paraId="26131806" w14:textId="77777777" w:rsidR="009C0430" w:rsidRDefault="00B27CD4">
      <w:pPr>
        <w:pStyle w:val="1"/>
      </w:pPr>
      <w:bookmarkStart w:id="14" w:name="_Toc445385567"/>
      <w:bookmarkStart w:id="15" w:name="_Toc488319640"/>
      <w:r>
        <w:t>6. Цели на предоставяната безвъзмездна финансова помощ по процедурата и очаквани резултати:</w:t>
      </w:r>
      <w:bookmarkEnd w:id="14"/>
      <w:bookmarkEnd w:id="15"/>
    </w:p>
    <w:tbl>
      <w:tblPr>
        <w:tblStyle w:val="afe"/>
        <w:tblW w:w="9634" w:type="dxa"/>
        <w:tblLook w:val="04A0" w:firstRow="1" w:lastRow="0" w:firstColumn="1" w:lastColumn="0" w:noHBand="0" w:noVBand="1"/>
      </w:tblPr>
      <w:tblGrid>
        <w:gridCol w:w="9634"/>
      </w:tblGrid>
      <w:tr w:rsidR="009C0430" w14:paraId="310EEF5F" w14:textId="77777777">
        <w:tc>
          <w:tcPr>
            <w:tcW w:w="9634" w:type="dxa"/>
          </w:tcPr>
          <w:p w14:paraId="458D643D" w14:textId="77777777" w:rsidR="009C0430" w:rsidRDefault="00B27CD4">
            <w:pPr>
              <w:pStyle w:val="a0"/>
              <w:spacing w:before="120" w:after="120"/>
              <w:ind w:left="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Цел на процедурата:</w:t>
            </w:r>
          </w:p>
          <w:p w14:paraId="5C4B4BA1"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Целта на процедурата е социално-икономическата интеграция на </w:t>
            </w:r>
            <w:proofErr w:type="spellStart"/>
            <w:r>
              <w:rPr>
                <w:rFonts w:ascii="Times New Roman" w:eastAsia="Times New Roman" w:hAnsi="Times New Roman" w:cs="Times New Roman"/>
                <w:sz w:val="24"/>
                <w:szCs w:val="24"/>
                <w:lang w:eastAsia="bg-BG"/>
              </w:rPr>
              <w:t>наи</w:t>
            </w:r>
            <w:proofErr w:type="spellEnd"/>
            <w:r>
              <w:rPr>
                <w:rFonts w:ascii="Times New Roman" w:eastAsia="Times New Roman" w:hAnsi="Times New Roman" w:cs="Times New Roman"/>
                <w:sz w:val="24"/>
                <w:szCs w:val="24"/>
                <w:lang w:eastAsia="bg-BG"/>
              </w:rPr>
              <w:t>̆-маргинализираните групи от населението чрез подобряване достъпа до заетост, образование, обучение, социални и здравни услуги и създаване на условия за преодоляване на негативни стереотипи.</w:t>
            </w:r>
          </w:p>
          <w:p w14:paraId="4FA146AA"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Процедурата съответства на целите, подцелите и приоритетите на СВОМР, които са директно насочени към насърчаване на заетостта и конкурентоспособността на територията на МИГ.</w:t>
            </w:r>
          </w:p>
          <w:p w14:paraId="7920C62A"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 "Постигане на по-добра образователна и квалификационна структура на населението и подобряване на достъпа до пазара на труда" и по-специално Специфична цел 3.1.2. "Социална интеграция на маргинализирани общности, чрез подобряване достъпа до услуги и развитие на социалното предприемачество" е насочена специално към насърчаване на социалното включване на уязвими групи хора от местната общност, чието реализиране чрез Мярка 8.3 на СВОМР ще създаде превенция на социалното изключване на маргинализирани групи от обществото.</w:t>
            </w:r>
          </w:p>
          <w:p w14:paraId="795F345D" w14:textId="77777777" w:rsidR="009C0430" w:rsidRDefault="00B27CD4">
            <w:pPr>
              <w:pStyle w:val="a0"/>
              <w:spacing w:before="120" w:line="276" w:lineRule="auto"/>
              <w:ind w:left="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Обосновка:</w:t>
            </w:r>
          </w:p>
          <w:p w14:paraId="5468BE68" w14:textId="77777777" w:rsidR="009C0430" w:rsidRDefault="00B27CD4">
            <w:pPr>
              <w:pStyle w:val="a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Сред етническите малцинства и най-вече сред ромското население са налице различни фактори, подхранващи бедността – ранно отпадане от училище, ниско образование, трайна безработица и липса на трудови навици, ограничени възможности за заетост, лоши битови условия, липса на достъп до здравни, социални и образователни услуги. Съществува необходимост от комплексна интервенция, насочена срещу бедността, която да подпомогне семействата от малцинствените групи да осигурят шансове за социално включване и развитие на своите деца. </w:t>
            </w:r>
          </w:p>
          <w:p w14:paraId="515D87E7" w14:textId="77777777" w:rsidR="009C0430"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Изпълнението на мярката ще допринесе за реализирането на целите на </w:t>
            </w:r>
            <w:r>
              <w:rPr>
                <w:rFonts w:ascii="Times New Roman" w:eastAsia="Times New Roman" w:hAnsi="Times New Roman" w:cs="Times New Roman"/>
                <w:b/>
                <w:sz w:val="24"/>
                <w:szCs w:val="24"/>
                <w:lang w:eastAsia="bg-BG"/>
              </w:rPr>
              <w:t>Инвестиционен приоритет 1</w:t>
            </w:r>
            <w:r>
              <w:rPr>
                <w:rFonts w:ascii="Times New Roman" w:eastAsia="Times New Roman" w:hAnsi="Times New Roman" w:cs="Times New Roman"/>
                <w:sz w:val="24"/>
                <w:szCs w:val="24"/>
                <w:lang w:eastAsia="bg-BG"/>
              </w:rPr>
              <w:t xml:space="preserve"> на ОПРЧР, а именно: </w:t>
            </w:r>
            <w:r>
              <w:rPr>
                <w:rFonts w:ascii="Times New Roman" w:eastAsia="Times New Roman" w:hAnsi="Times New Roman" w:cs="Times New Roman"/>
                <w:i/>
                <w:sz w:val="24"/>
                <w:szCs w:val="24"/>
                <w:lang w:eastAsia="bg-BG"/>
              </w:rPr>
              <w:t>„Социално-икономическа интеграция на маргинализирани общности като ромите”</w:t>
            </w:r>
            <w:r>
              <w:rPr>
                <w:rFonts w:ascii="Times New Roman" w:eastAsia="Times New Roman" w:hAnsi="Times New Roman" w:cs="Times New Roman"/>
                <w:sz w:val="24"/>
                <w:szCs w:val="24"/>
                <w:lang w:eastAsia="bg-BG"/>
              </w:rPr>
              <w:t>, както и постигане на:</w:t>
            </w:r>
          </w:p>
          <w:p w14:paraId="0C3386E2" w14:textId="77777777" w:rsidR="009C0430" w:rsidRDefault="009C0430">
            <w:pPr>
              <w:pStyle w:val="a0"/>
              <w:spacing w:before="120" w:after="120"/>
              <w:ind w:left="0"/>
              <w:jc w:val="both"/>
              <w:rPr>
                <w:rFonts w:ascii="Times New Roman" w:eastAsia="Times New Roman" w:hAnsi="Times New Roman" w:cs="Times New Roman"/>
                <w:sz w:val="24"/>
                <w:szCs w:val="24"/>
                <w:lang w:eastAsia="bg-BG"/>
              </w:rPr>
            </w:pPr>
          </w:p>
          <w:p w14:paraId="2FCA3709" w14:textId="77777777" w:rsidR="009C0430" w:rsidRDefault="00B27CD4">
            <w:pPr>
              <w:pStyle w:val="a0"/>
              <w:spacing w:before="120" w:after="120"/>
              <w:ind w:left="0"/>
              <w:jc w:val="both"/>
              <w:rPr>
                <w:rFonts w:ascii="Times New Roman" w:eastAsia="Times New Roman" w:hAnsi="Times New Roman" w:cs="Times New Roman"/>
                <w:i/>
                <w:sz w:val="24"/>
                <w:szCs w:val="24"/>
                <w:lang w:eastAsia="bg-BG"/>
              </w:rPr>
            </w:pPr>
            <w:r>
              <w:rPr>
                <w:rFonts w:ascii="Times New Roman" w:eastAsia="Times New Roman" w:hAnsi="Times New Roman" w:cs="Times New Roman"/>
                <w:b/>
                <w:sz w:val="24"/>
                <w:szCs w:val="24"/>
                <w:lang w:eastAsia="bg-BG"/>
              </w:rPr>
              <w:t xml:space="preserve">Специфична цел: </w:t>
            </w:r>
            <w:r>
              <w:rPr>
                <w:rFonts w:ascii="Times New Roman" w:eastAsia="Times New Roman" w:hAnsi="Times New Roman" w:cs="Times New Roman"/>
                <w:i/>
                <w:sz w:val="24"/>
                <w:szCs w:val="24"/>
                <w:lang w:eastAsia="bg-BG"/>
              </w:rPr>
              <w:t>Увеличаване на броя на лицата от уязвими етнически общности, включени в заетост, образование, обучение, социални и здравни услуги с фокус върху ромите, мигранти, участници с произход от други държави.</w:t>
            </w:r>
          </w:p>
          <w:p w14:paraId="7BAE312D" w14:textId="77777777" w:rsidR="009C0430" w:rsidRDefault="009C0430">
            <w:pPr>
              <w:pStyle w:val="a0"/>
              <w:spacing w:before="120" w:after="120"/>
              <w:ind w:left="0"/>
              <w:jc w:val="both"/>
              <w:rPr>
                <w:rFonts w:ascii="Times New Roman" w:eastAsia="Times New Roman" w:hAnsi="Times New Roman" w:cs="Times New Roman"/>
                <w:b/>
                <w:sz w:val="24"/>
                <w:szCs w:val="24"/>
                <w:lang w:eastAsia="bg-BG"/>
              </w:rPr>
            </w:pPr>
          </w:p>
          <w:p w14:paraId="64A1948A" w14:textId="77777777" w:rsidR="009C0430" w:rsidRDefault="00B27CD4">
            <w:pPr>
              <w:pStyle w:val="a0"/>
              <w:spacing w:before="120" w:after="120"/>
              <w:ind w:left="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Очаквани резултати:</w:t>
            </w:r>
          </w:p>
          <w:p w14:paraId="25CC6274" w14:textId="77777777" w:rsidR="009C0430"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Очакваните резултати след реализирането на проекти по мярка </w:t>
            </w:r>
            <w:r>
              <w:rPr>
                <w:rFonts w:ascii="Times New Roman" w:eastAsia="Times New Roman" w:hAnsi="Times New Roman" w:cs="Times New Roman"/>
                <w:b/>
                <w:sz w:val="24"/>
                <w:szCs w:val="24"/>
                <w:lang w:eastAsia="bg-BG"/>
              </w:rPr>
              <w:t>8.3 „</w:t>
            </w:r>
            <w:r>
              <w:rPr>
                <w:rFonts w:ascii="Times New Roman" w:eastAsia="Calibri" w:hAnsi="Times New Roman" w:cs="Times New Roman"/>
                <w:b/>
                <w:sz w:val="24"/>
                <w:szCs w:val="24"/>
                <w:lang w:eastAsia="bg-BG"/>
              </w:rPr>
              <w:t>Намаляване на бедността и насърчаване на социалното включване</w:t>
            </w:r>
            <w:r>
              <w:rPr>
                <w:rFonts w:ascii="Times New Roman" w:eastAsia="Times New Roman" w:hAnsi="Times New Roman" w:cs="Times New Roman"/>
                <w:b/>
                <w:sz w:val="24"/>
                <w:szCs w:val="24"/>
                <w:lang w:eastAsia="bg-BG"/>
              </w:rPr>
              <w:t>“</w:t>
            </w:r>
            <w:r>
              <w:rPr>
                <w:rFonts w:ascii="Times New Roman" w:eastAsia="Times New Roman" w:hAnsi="Times New Roman" w:cs="Times New Roman"/>
                <w:sz w:val="24"/>
                <w:szCs w:val="24"/>
                <w:lang w:eastAsia="bg-BG"/>
              </w:rPr>
              <w:t xml:space="preserve"> са ангажирането на представители на маргинализираните общности в търсенето на работа или започването им на работа; подобряване на тяхната професионална квалификация; ангажиране на участници в неравностойно положение с образование или обучение, интеграция в образователната система на деца и младежи от маргинализирани групи; даване възможност на ромите и мигрантите за получаване на социални и здравни услуги, повишаване информираността им относно социалните и здравните им права и др.</w:t>
            </w:r>
          </w:p>
          <w:p w14:paraId="2CE9BA55" w14:textId="77777777" w:rsidR="009C0430" w:rsidRDefault="009C0430">
            <w:pPr>
              <w:pStyle w:val="a0"/>
              <w:spacing w:before="120" w:after="120"/>
              <w:ind w:left="0"/>
              <w:jc w:val="both"/>
              <w:rPr>
                <w:rFonts w:ascii="Times New Roman" w:eastAsia="Times New Roman" w:hAnsi="Times New Roman" w:cs="Times New Roman"/>
                <w:i/>
                <w:sz w:val="24"/>
                <w:szCs w:val="24"/>
                <w:lang w:eastAsia="bg-BG"/>
              </w:rPr>
            </w:pPr>
          </w:p>
          <w:p w14:paraId="1D9E1F94" w14:textId="77777777" w:rsidR="009C0430" w:rsidRDefault="00B27CD4">
            <w:pPr>
              <w:pStyle w:val="a0"/>
              <w:spacing w:before="120" w:after="120"/>
              <w:ind w:left="0"/>
              <w:jc w:val="both"/>
              <w:rPr>
                <w:rFonts w:ascii="Times New Roman" w:eastAsia="Times New Roman" w:hAnsi="Times New Roman" w:cs="Times New Roman"/>
                <w:b/>
                <w:sz w:val="24"/>
                <w:szCs w:val="24"/>
                <w:lang w:eastAsia="bg-BG"/>
              </w:rPr>
            </w:pPr>
            <w:proofErr w:type="spellStart"/>
            <w:r>
              <w:rPr>
                <w:rFonts w:ascii="Times New Roman" w:eastAsia="Times New Roman" w:hAnsi="Times New Roman" w:cs="Times New Roman"/>
                <w:b/>
                <w:sz w:val="24"/>
                <w:szCs w:val="24"/>
                <w:lang w:eastAsia="bg-BG"/>
              </w:rPr>
              <w:t>Демаркация</w:t>
            </w:r>
            <w:proofErr w:type="spellEnd"/>
            <w:r>
              <w:rPr>
                <w:rFonts w:ascii="Times New Roman" w:eastAsia="Times New Roman" w:hAnsi="Times New Roman" w:cs="Times New Roman"/>
                <w:b/>
                <w:sz w:val="24"/>
                <w:szCs w:val="24"/>
                <w:lang w:eastAsia="bg-BG"/>
              </w:rPr>
              <w:t>:</w:t>
            </w:r>
          </w:p>
          <w:p w14:paraId="562E3C4B" w14:textId="77777777" w:rsidR="009C0430"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 недопускане на двойно финансиране с операции от останалите оперативни програми или ОПРЧР, ще се следва задължително </w:t>
            </w:r>
            <w:proofErr w:type="spellStart"/>
            <w:r>
              <w:rPr>
                <w:rFonts w:ascii="Times New Roman" w:eastAsia="Times New Roman" w:hAnsi="Times New Roman" w:cs="Times New Roman"/>
                <w:sz w:val="24"/>
                <w:szCs w:val="24"/>
                <w:lang w:eastAsia="bg-BG"/>
              </w:rPr>
              <w:t>демаркацията</w:t>
            </w:r>
            <w:proofErr w:type="spellEnd"/>
            <w:r>
              <w:rPr>
                <w:rFonts w:ascii="Times New Roman" w:eastAsia="Times New Roman" w:hAnsi="Times New Roman" w:cs="Times New Roman"/>
                <w:sz w:val="24"/>
                <w:szCs w:val="24"/>
                <w:lang w:eastAsia="bg-BG"/>
              </w:rPr>
              <w:t>, както е описана в раздел 8 на ОП РЧР 2014 – 2020. В рамките на операцията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 Проверка ще се извършва на ниво индивидуален проект, по-конкретно на ниво допустими дейности, както и на ниво представител на целева група.</w:t>
            </w:r>
          </w:p>
          <w:p w14:paraId="46CBE6AE" w14:textId="77777777" w:rsidR="009C0430"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Обръща се особено внимание на необходимата </w:t>
            </w:r>
            <w:proofErr w:type="spellStart"/>
            <w:r>
              <w:rPr>
                <w:rFonts w:ascii="Times New Roman" w:eastAsia="Times New Roman" w:hAnsi="Times New Roman" w:cs="Times New Roman"/>
                <w:sz w:val="24"/>
                <w:szCs w:val="24"/>
                <w:lang w:eastAsia="bg-BG"/>
              </w:rPr>
              <w:t>демаркация</w:t>
            </w:r>
            <w:proofErr w:type="spellEnd"/>
            <w:r>
              <w:rPr>
                <w:rFonts w:ascii="Times New Roman" w:eastAsia="Times New Roman" w:hAnsi="Times New Roman" w:cs="Times New Roman"/>
                <w:sz w:val="24"/>
                <w:szCs w:val="24"/>
                <w:lang w:eastAsia="bg-BG"/>
              </w:rPr>
              <w:t xml:space="preserve"> с оперативна програма „Наука и образование за интелигентен растеж“ (ОПНОИР), вкл. националните операции, финансирани от тази програма:</w:t>
            </w:r>
          </w:p>
          <w:p w14:paraId="175D8E76" w14:textId="77777777" w:rsidR="009C0430"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осигуряване на разграничаване между финансовата подкрепа, предоставяна от ОПРЧР и ОПНОИР следва да се има предвид, че по ОП РЧР няма да бъдат подкрепяни инициативи за осигуряване на достъп до образование и инициативи, осъществяващи се на територията на детската градина или училището, които са част от същинския образователен процес. Услуги, част от образователния процес в детските градини и училищата, в т.ч. свързани с превенция на отпадането от училище и др., се подкрепят по линия на ОП НОИР. Предоставянето на услуги за по-лесен преход от образование към заетост на младите хора, когато същите се предоставят от организации извън системата на средното и висшето образование, може да бъде подкрепяно от ОП РЧР.</w:t>
            </w:r>
          </w:p>
          <w:p w14:paraId="7B2EF1E5" w14:textId="77777777" w:rsidR="009C0430"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 ОП РЧР могат да бъдат подкрепяни обучения за икономически неактивни, безработни и заети лица, осъществявани само извън системата на формалното образование. </w:t>
            </w:r>
            <w:r>
              <w:rPr>
                <w:rFonts w:ascii="Times New Roman" w:eastAsia="Times New Roman" w:hAnsi="Times New Roman" w:cs="Times New Roman"/>
                <w:sz w:val="24"/>
                <w:szCs w:val="24"/>
                <w:lang w:eastAsia="bg-BG"/>
              </w:rPr>
              <w:lastRenderedPageBreak/>
              <w:t>Ограмотяването на възрастни, като част от формалното образование, е в обхвата на ОП НОИР.</w:t>
            </w:r>
          </w:p>
          <w:p w14:paraId="5302E4C3" w14:textId="77777777" w:rsidR="009C0430"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случай, че кандидатът има проектно предложение или одобрен проект, финансиран по национална процедура по една от двете програми в рамките на инвестиционен приоритет  „Социално-икономическа интеграция на уязвими групи“, който е включен както по ОП РЧР, така и по ОП НОИР, кандидатът трябва ясно и убедително да представи разграничението на целеви групи, дейности и др. елементи от проектните предложения спрямо източниците им на финансиране, с цел недопускане на двойно финансиране.</w:t>
            </w:r>
          </w:p>
        </w:tc>
      </w:tr>
    </w:tbl>
    <w:p w14:paraId="2501E3E2" w14:textId="77777777" w:rsidR="009C0430" w:rsidRDefault="00B27CD4">
      <w:pPr>
        <w:pStyle w:val="1"/>
      </w:pPr>
      <w:bookmarkStart w:id="16" w:name="_Toc488319641"/>
      <w:bookmarkStart w:id="17" w:name="_Toc445385568"/>
      <w:r>
        <w:lastRenderedPageBreak/>
        <w:t>7. Индикатори:</w:t>
      </w:r>
      <w:bookmarkEnd w:id="16"/>
      <w:bookmarkEnd w:id="17"/>
    </w:p>
    <w:tbl>
      <w:tblPr>
        <w:tblStyle w:val="afe"/>
        <w:tblW w:w="0" w:type="auto"/>
        <w:tblLook w:val="04A0" w:firstRow="1" w:lastRow="0" w:firstColumn="1" w:lastColumn="0" w:noHBand="0" w:noVBand="1"/>
      </w:tblPr>
      <w:tblGrid>
        <w:gridCol w:w="9496"/>
      </w:tblGrid>
      <w:tr w:rsidR="009C0430" w14:paraId="360FDF65" w14:textId="77777777">
        <w:tc>
          <w:tcPr>
            <w:tcW w:w="9496" w:type="dxa"/>
          </w:tcPr>
          <w:tbl>
            <w:tblPr>
              <w:tblStyle w:val="afe"/>
              <w:tblW w:w="0" w:type="auto"/>
              <w:tblLook w:val="04A0" w:firstRow="1" w:lastRow="0" w:firstColumn="1" w:lastColumn="0" w:noHBand="0" w:noVBand="1"/>
            </w:tblPr>
            <w:tblGrid>
              <w:gridCol w:w="1850"/>
              <w:gridCol w:w="1250"/>
              <w:gridCol w:w="1278"/>
              <w:gridCol w:w="2212"/>
              <w:gridCol w:w="1251"/>
              <w:gridCol w:w="1279"/>
            </w:tblGrid>
            <w:tr w:rsidR="009C0430" w14:paraId="29F03B8F" w14:textId="77777777">
              <w:trPr>
                <w:trHeight w:val="809"/>
              </w:trPr>
              <w:tc>
                <w:tcPr>
                  <w:tcW w:w="4378" w:type="dxa"/>
                  <w:gridSpan w:val="3"/>
                  <w:shd w:val="clear" w:color="auto" w:fill="CCECFF"/>
                  <w:vAlign w:val="center"/>
                </w:tcPr>
                <w:p w14:paraId="54901CCF" w14:textId="77777777" w:rsidR="009C0430" w:rsidRDefault="00B27CD4">
                  <w:pPr>
                    <w:pStyle w:val="a0"/>
                    <w:spacing w:before="120" w:after="120"/>
                    <w:ind w:left="0"/>
                    <w:contextualSpacing w:val="0"/>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ИНДИКАТОРИ ЗА ИЗПЪЛНЕНИЕ</w:t>
                  </w:r>
                </w:p>
              </w:tc>
              <w:tc>
                <w:tcPr>
                  <w:tcW w:w="4742" w:type="dxa"/>
                  <w:gridSpan w:val="3"/>
                  <w:shd w:val="clear" w:color="auto" w:fill="CCECFF"/>
                  <w:vAlign w:val="center"/>
                </w:tcPr>
                <w:p w14:paraId="37AE0485" w14:textId="77777777" w:rsidR="009C0430" w:rsidRDefault="00B27CD4">
                  <w:pPr>
                    <w:pStyle w:val="a0"/>
                    <w:spacing w:before="120" w:after="120"/>
                    <w:ind w:left="0"/>
                    <w:contextualSpacing w:val="0"/>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ИНДИКАТОРИ ЗА РЕЗУЛТАТ</w:t>
                  </w:r>
                </w:p>
              </w:tc>
            </w:tr>
            <w:tr w:rsidR="009C0430" w14:paraId="09F4343D" w14:textId="77777777">
              <w:trPr>
                <w:trHeight w:val="552"/>
              </w:trPr>
              <w:tc>
                <w:tcPr>
                  <w:tcW w:w="1850" w:type="dxa"/>
                  <w:vAlign w:val="center"/>
                </w:tcPr>
                <w:p w14:paraId="00299D3E" w14:textId="77777777" w:rsidR="009C0430" w:rsidRDefault="00B27CD4">
                  <w:pPr>
                    <w:pStyle w:val="a0"/>
                    <w:spacing w:before="120" w:after="120"/>
                    <w:ind w:left="0"/>
                    <w:contextualSpacing w:val="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Индикатор</w:t>
                  </w:r>
                </w:p>
              </w:tc>
              <w:tc>
                <w:tcPr>
                  <w:tcW w:w="1250" w:type="dxa"/>
                  <w:vAlign w:val="center"/>
                </w:tcPr>
                <w:p w14:paraId="57820127" w14:textId="77777777" w:rsidR="009C0430" w:rsidRDefault="00B27CD4">
                  <w:pPr>
                    <w:pStyle w:val="a0"/>
                    <w:spacing w:before="120" w:after="120"/>
                    <w:ind w:left="0"/>
                    <w:contextualSpacing w:val="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Мерна единица</w:t>
                  </w:r>
                </w:p>
              </w:tc>
              <w:tc>
                <w:tcPr>
                  <w:tcW w:w="1278" w:type="dxa"/>
                  <w:vAlign w:val="center"/>
                </w:tcPr>
                <w:p w14:paraId="317326C3" w14:textId="77777777" w:rsidR="009C0430" w:rsidRDefault="00B27CD4">
                  <w:pPr>
                    <w:pStyle w:val="a0"/>
                    <w:spacing w:before="120" w:after="120"/>
                    <w:ind w:left="0"/>
                    <w:contextualSpacing w:val="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Целева стойност</w:t>
                  </w:r>
                </w:p>
              </w:tc>
              <w:tc>
                <w:tcPr>
                  <w:tcW w:w="2212" w:type="dxa"/>
                  <w:vAlign w:val="center"/>
                </w:tcPr>
                <w:p w14:paraId="29A2D6CA" w14:textId="77777777" w:rsidR="009C0430" w:rsidRDefault="00B27CD4">
                  <w:pPr>
                    <w:pStyle w:val="a0"/>
                    <w:spacing w:before="120" w:after="120"/>
                    <w:ind w:left="0"/>
                    <w:contextualSpacing w:val="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Индикатор</w:t>
                  </w:r>
                </w:p>
              </w:tc>
              <w:tc>
                <w:tcPr>
                  <w:tcW w:w="1251" w:type="dxa"/>
                  <w:vAlign w:val="center"/>
                </w:tcPr>
                <w:p w14:paraId="6716D5F4" w14:textId="77777777" w:rsidR="009C0430" w:rsidRDefault="00B27CD4">
                  <w:pPr>
                    <w:pStyle w:val="a0"/>
                    <w:spacing w:before="120" w:after="120"/>
                    <w:ind w:left="0"/>
                    <w:contextualSpacing w:val="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Мерна единица</w:t>
                  </w:r>
                </w:p>
              </w:tc>
              <w:tc>
                <w:tcPr>
                  <w:tcW w:w="1279" w:type="dxa"/>
                  <w:vAlign w:val="center"/>
                </w:tcPr>
                <w:p w14:paraId="721AD1EC" w14:textId="77777777" w:rsidR="009C0430" w:rsidRDefault="00B27CD4">
                  <w:pPr>
                    <w:pStyle w:val="a0"/>
                    <w:spacing w:before="120" w:after="120"/>
                    <w:ind w:left="0"/>
                    <w:contextualSpacing w:val="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Целева стойност</w:t>
                  </w:r>
                </w:p>
              </w:tc>
            </w:tr>
            <w:tr w:rsidR="009C0430" w14:paraId="15AF3E71" w14:textId="77777777">
              <w:trPr>
                <w:trHeight w:val="552"/>
              </w:trPr>
              <w:tc>
                <w:tcPr>
                  <w:tcW w:w="9120" w:type="dxa"/>
                  <w:gridSpan w:val="6"/>
                  <w:shd w:val="clear" w:color="auto" w:fill="DEEAF6" w:themeFill="accent1" w:themeFillTint="33"/>
                  <w:vAlign w:val="center"/>
                </w:tcPr>
                <w:p w14:paraId="7884B20B" w14:textId="77777777" w:rsidR="009C0430" w:rsidRDefault="00B27CD4">
                  <w:pPr>
                    <w:pStyle w:val="a0"/>
                    <w:spacing w:before="120" w:after="120"/>
                    <w:ind w:left="0"/>
                    <w:contextualSpacing w:val="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 xml:space="preserve">Индикатори по ОП РЧР 2014 – 2020, </w:t>
                  </w:r>
                  <w:proofErr w:type="spellStart"/>
                  <w:r>
                    <w:rPr>
                      <w:rFonts w:ascii="Times New Roman" w:eastAsia="Times New Roman" w:hAnsi="Times New Roman" w:cs="Times New Roman"/>
                      <w:b/>
                      <w:sz w:val="20"/>
                      <w:szCs w:val="20"/>
                      <w:lang w:eastAsia="bg-BG"/>
                    </w:rPr>
                    <w:t>съотносими</w:t>
                  </w:r>
                  <w:proofErr w:type="spellEnd"/>
                  <w:r>
                    <w:rPr>
                      <w:rFonts w:ascii="Times New Roman" w:eastAsia="Times New Roman" w:hAnsi="Times New Roman" w:cs="Times New Roman"/>
                      <w:b/>
                      <w:sz w:val="20"/>
                      <w:szCs w:val="20"/>
                      <w:lang w:eastAsia="bg-BG"/>
                    </w:rPr>
                    <w:t xml:space="preserve"> към процедурата</w:t>
                  </w:r>
                </w:p>
              </w:tc>
            </w:tr>
            <w:tr w:rsidR="009C0430" w14:paraId="51412518" w14:textId="77777777">
              <w:tc>
                <w:tcPr>
                  <w:tcW w:w="1850" w:type="dxa"/>
                  <w:vAlign w:val="center"/>
                </w:tcPr>
                <w:p w14:paraId="7EFB44FF" w14:textId="77777777" w:rsidR="009C0430" w:rsidRDefault="00B27CD4">
                  <w:pPr>
                    <w:pStyle w:val="a0"/>
                    <w:spacing w:after="360"/>
                    <w:ind w:left="0"/>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 Други хора в неравностойно положение.</w:t>
                  </w:r>
                  <w:r>
                    <w:rPr>
                      <w:rStyle w:val="afb"/>
                      <w:rFonts w:ascii="Times New Roman" w:eastAsia="Times New Roman" w:hAnsi="Times New Roman" w:cs="Times New Roman"/>
                      <w:b/>
                      <w:sz w:val="20"/>
                      <w:szCs w:val="20"/>
                      <w:lang w:eastAsia="bg-BG"/>
                    </w:rPr>
                    <w:footnoteReference w:id="2"/>
                  </w:r>
                </w:p>
              </w:tc>
              <w:tc>
                <w:tcPr>
                  <w:tcW w:w="1250" w:type="dxa"/>
                  <w:vAlign w:val="center"/>
                </w:tcPr>
                <w:p w14:paraId="0892E393" w14:textId="77777777" w:rsidR="009C0430" w:rsidRDefault="00B27CD4" w:rsidP="00112F66">
                  <w:pPr>
                    <w:pStyle w:val="a0"/>
                    <w:spacing w:after="360"/>
                    <w:ind w:left="0"/>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Брой</w:t>
                  </w:r>
                </w:p>
              </w:tc>
              <w:tc>
                <w:tcPr>
                  <w:tcW w:w="1278" w:type="dxa"/>
                  <w:vAlign w:val="center"/>
                </w:tcPr>
                <w:p w14:paraId="0631387A" w14:textId="77777777" w:rsidR="009C0430" w:rsidRDefault="009C0430">
                  <w:pPr>
                    <w:pStyle w:val="a0"/>
                    <w:spacing w:after="360"/>
                    <w:ind w:left="0"/>
                    <w:jc w:val="center"/>
                    <w:rPr>
                      <w:rFonts w:ascii="Times New Roman" w:eastAsia="Times New Roman" w:hAnsi="Times New Roman" w:cs="Times New Roman"/>
                      <w:b/>
                      <w:sz w:val="20"/>
                      <w:szCs w:val="20"/>
                      <w:lang w:eastAsia="bg-BG"/>
                    </w:rPr>
                  </w:pPr>
                </w:p>
                <w:p w14:paraId="29504B08" w14:textId="77777777" w:rsidR="009C0430" w:rsidRDefault="00112F66" w:rsidP="00112F66">
                  <w:pPr>
                    <w:pStyle w:val="a0"/>
                    <w:spacing w:after="360"/>
                    <w:ind w:left="0"/>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10</w:t>
                  </w:r>
                </w:p>
              </w:tc>
              <w:tc>
                <w:tcPr>
                  <w:tcW w:w="2212" w:type="dxa"/>
                </w:tcPr>
                <w:p w14:paraId="085B39EB" w14:textId="77777777" w:rsidR="009C0430" w:rsidRDefault="00B27CD4">
                  <w:pPr>
                    <w:pStyle w:val="a0"/>
                    <w:spacing w:after="360"/>
                    <w:ind w:left="0"/>
                    <w:jc w:val="center"/>
                    <w:rPr>
                      <w:rFonts w:ascii="Times New Roman" w:eastAsia="Times New Roman" w:hAnsi="Times New Roman" w:cs="Times New Roman"/>
                      <w:b/>
                      <w:sz w:val="20"/>
                      <w:szCs w:val="20"/>
                      <w:lang w:eastAsia="bg-BG"/>
                    </w:rPr>
                  </w:pPr>
                  <w:proofErr w:type="spellStart"/>
                  <w:r>
                    <w:rPr>
                      <w:rFonts w:ascii="Times New Roman" w:eastAsia="Times New Roman" w:hAnsi="Times New Roman" w:cs="Times New Roman"/>
                      <w:b/>
                      <w:sz w:val="20"/>
                      <w:szCs w:val="20"/>
                      <w:lang w:eastAsia="bg-BG"/>
                    </w:rPr>
                    <w:t>Участницив</w:t>
                  </w:r>
                  <w:proofErr w:type="spellEnd"/>
                  <w:r>
                    <w:rPr>
                      <w:rFonts w:ascii="Times New Roman" w:eastAsia="Times New Roman" w:hAnsi="Times New Roman" w:cs="Times New Roman"/>
                      <w:b/>
                      <w:sz w:val="20"/>
                      <w:szCs w:val="20"/>
                      <w:lang w:eastAsia="bg-BG"/>
                    </w:rPr>
                    <w:t xml:space="preserve"> неравностойно положение, които при напускане на операцията</w:t>
                  </w:r>
                  <w:r>
                    <w:rPr>
                      <w:rStyle w:val="afb"/>
                      <w:rFonts w:ascii="Times New Roman" w:eastAsia="Times New Roman" w:hAnsi="Times New Roman" w:cs="Times New Roman"/>
                      <w:b/>
                      <w:sz w:val="20"/>
                      <w:szCs w:val="20"/>
                      <w:lang w:eastAsia="bg-BG"/>
                    </w:rPr>
                    <w:footnoteReference w:id="3"/>
                  </w:r>
                  <w:r>
                    <w:rPr>
                      <w:rFonts w:ascii="Times New Roman" w:eastAsia="Times New Roman" w:hAnsi="Times New Roman" w:cs="Times New Roman"/>
                      <w:b/>
                      <w:sz w:val="20"/>
                      <w:szCs w:val="20"/>
                      <w:lang w:eastAsia="bg-BG"/>
                    </w:rPr>
                    <w:t xml:space="preserve"> са започнали да търсят работа, или имат работа, или са ангажирани с образование/обучение или са получили квалификация или са включени в социални и здравни услуги</w:t>
                  </w:r>
                </w:p>
              </w:tc>
              <w:tc>
                <w:tcPr>
                  <w:tcW w:w="1251" w:type="dxa"/>
                  <w:vAlign w:val="center"/>
                </w:tcPr>
                <w:p w14:paraId="2EC98ED7" w14:textId="77777777" w:rsidR="009C0430" w:rsidRDefault="00B27CD4">
                  <w:pPr>
                    <w:pStyle w:val="a0"/>
                    <w:spacing w:after="360"/>
                    <w:ind w:left="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Брой</w:t>
                  </w:r>
                </w:p>
              </w:tc>
              <w:tc>
                <w:tcPr>
                  <w:tcW w:w="1279" w:type="dxa"/>
                  <w:vAlign w:val="center"/>
                </w:tcPr>
                <w:p w14:paraId="057996DD" w14:textId="77777777" w:rsidR="009C0430" w:rsidRDefault="009C0430">
                  <w:pPr>
                    <w:pStyle w:val="a0"/>
                    <w:spacing w:after="360"/>
                    <w:ind w:left="0"/>
                    <w:jc w:val="center"/>
                    <w:rPr>
                      <w:rFonts w:ascii="Times New Roman" w:eastAsia="Times New Roman" w:hAnsi="Times New Roman" w:cs="Times New Roman"/>
                      <w:b/>
                      <w:sz w:val="20"/>
                      <w:szCs w:val="20"/>
                      <w:lang w:eastAsia="bg-BG"/>
                    </w:rPr>
                  </w:pPr>
                </w:p>
                <w:p w14:paraId="249D5E13" w14:textId="77777777" w:rsidR="009C0430" w:rsidRDefault="009C0430">
                  <w:pPr>
                    <w:pStyle w:val="a0"/>
                    <w:spacing w:after="360"/>
                    <w:ind w:left="0"/>
                    <w:jc w:val="center"/>
                    <w:rPr>
                      <w:rFonts w:ascii="Times New Roman" w:eastAsia="Times New Roman" w:hAnsi="Times New Roman" w:cs="Times New Roman"/>
                      <w:b/>
                      <w:sz w:val="20"/>
                      <w:szCs w:val="20"/>
                      <w:lang w:eastAsia="bg-BG"/>
                    </w:rPr>
                  </w:pPr>
                </w:p>
                <w:p w14:paraId="442EC4CF" w14:textId="77777777" w:rsidR="009C0430" w:rsidRDefault="00B27CD4">
                  <w:pPr>
                    <w:pStyle w:val="a0"/>
                    <w:spacing w:after="360"/>
                    <w:ind w:left="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10</w:t>
                  </w:r>
                </w:p>
              </w:tc>
            </w:tr>
            <w:tr w:rsidR="009C0430" w14:paraId="33F682FE" w14:textId="77777777">
              <w:tc>
                <w:tcPr>
                  <w:tcW w:w="1850" w:type="dxa"/>
                  <w:vAlign w:val="center"/>
                </w:tcPr>
                <w:p w14:paraId="4B38F923" w14:textId="77777777" w:rsidR="00112F66" w:rsidRPr="00112F66" w:rsidRDefault="00112F66" w:rsidP="00112F66">
                  <w:pPr>
                    <w:pStyle w:val="a0"/>
                    <w:jc w:val="center"/>
                    <w:rPr>
                      <w:rFonts w:ascii="Times New Roman" w:eastAsia="Times New Roman" w:hAnsi="Times New Roman" w:cs="Times New Roman"/>
                      <w:b/>
                      <w:sz w:val="20"/>
                      <w:szCs w:val="20"/>
                      <w:lang w:eastAsia="bg-BG"/>
                    </w:rPr>
                  </w:pPr>
                  <w:r w:rsidRPr="00112F66">
                    <w:rPr>
                      <w:rFonts w:ascii="Times New Roman" w:eastAsia="Times New Roman" w:hAnsi="Times New Roman" w:cs="Times New Roman"/>
                      <w:b/>
                      <w:sz w:val="20"/>
                      <w:szCs w:val="20"/>
                      <w:lang w:eastAsia="bg-BG"/>
                    </w:rPr>
                    <w:t>Роми;</w:t>
                  </w:r>
                </w:p>
                <w:p w14:paraId="63BA9160" w14:textId="77777777" w:rsidR="009C0430" w:rsidRDefault="009C0430">
                  <w:pPr>
                    <w:pStyle w:val="a0"/>
                    <w:spacing w:after="360"/>
                    <w:ind w:left="0"/>
                    <w:jc w:val="center"/>
                    <w:rPr>
                      <w:rFonts w:ascii="Times New Roman" w:eastAsia="Times New Roman" w:hAnsi="Times New Roman" w:cs="Times New Roman"/>
                      <w:b/>
                      <w:sz w:val="20"/>
                      <w:szCs w:val="20"/>
                      <w:lang w:eastAsia="bg-BG"/>
                    </w:rPr>
                  </w:pPr>
                </w:p>
              </w:tc>
              <w:tc>
                <w:tcPr>
                  <w:tcW w:w="1250" w:type="dxa"/>
                  <w:vAlign w:val="center"/>
                </w:tcPr>
                <w:p w14:paraId="0767EBAA" w14:textId="77777777" w:rsidR="009C0430" w:rsidRDefault="00CC6677" w:rsidP="00CC6677">
                  <w:pPr>
                    <w:pStyle w:val="a0"/>
                    <w:spacing w:after="360"/>
                    <w:ind w:left="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170</w:t>
                  </w:r>
                </w:p>
              </w:tc>
              <w:tc>
                <w:tcPr>
                  <w:tcW w:w="1278" w:type="dxa"/>
                  <w:vAlign w:val="center"/>
                </w:tcPr>
                <w:p w14:paraId="38C89FCA" w14:textId="77777777" w:rsidR="009C0430" w:rsidRDefault="009C0430">
                  <w:pPr>
                    <w:pStyle w:val="a0"/>
                    <w:spacing w:after="360"/>
                    <w:ind w:left="0"/>
                    <w:jc w:val="center"/>
                    <w:rPr>
                      <w:rFonts w:ascii="Times New Roman" w:eastAsia="Times New Roman" w:hAnsi="Times New Roman" w:cs="Times New Roman"/>
                      <w:b/>
                      <w:sz w:val="20"/>
                      <w:szCs w:val="20"/>
                      <w:lang w:eastAsia="bg-BG"/>
                    </w:rPr>
                  </w:pPr>
                </w:p>
              </w:tc>
              <w:tc>
                <w:tcPr>
                  <w:tcW w:w="2212" w:type="dxa"/>
                </w:tcPr>
                <w:p w14:paraId="03A6E9B8" w14:textId="77777777" w:rsidR="009C0430" w:rsidRDefault="00B27CD4">
                  <w:pPr>
                    <w:pStyle w:val="a0"/>
                    <w:spacing w:after="360"/>
                    <w:ind w:left="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Роми, които при напускане на операцията са започнали да търсят работа, или имат работа, или са ангажирани с образование/обучение или са получили квалификация или са включени в социални и здравни услуги.</w:t>
                  </w:r>
                </w:p>
              </w:tc>
              <w:tc>
                <w:tcPr>
                  <w:tcW w:w="1251" w:type="dxa"/>
                  <w:vAlign w:val="center"/>
                </w:tcPr>
                <w:p w14:paraId="3560E972" w14:textId="77777777" w:rsidR="009C0430" w:rsidRDefault="00B27CD4">
                  <w:pPr>
                    <w:pStyle w:val="a0"/>
                    <w:spacing w:after="360"/>
                    <w:ind w:left="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Брой</w:t>
                  </w:r>
                </w:p>
              </w:tc>
              <w:tc>
                <w:tcPr>
                  <w:tcW w:w="1279" w:type="dxa"/>
                  <w:vAlign w:val="center"/>
                </w:tcPr>
                <w:p w14:paraId="61E89DB1" w14:textId="77777777" w:rsidR="009C0430" w:rsidRDefault="00CC6677">
                  <w:pPr>
                    <w:pStyle w:val="a0"/>
                    <w:spacing w:after="360"/>
                    <w:ind w:left="0"/>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150</w:t>
                  </w:r>
                </w:p>
              </w:tc>
            </w:tr>
          </w:tbl>
          <w:p w14:paraId="130C0F23" w14:textId="77777777" w:rsidR="009C0430" w:rsidRDefault="00B27CD4">
            <w:pPr>
              <w:pStyle w:val="Text1"/>
              <w:spacing w:before="120" w:after="120"/>
              <w:ind w:left="0"/>
              <w:outlineLvl w:val="0"/>
              <w:rPr>
                <w:szCs w:val="24"/>
                <w:lang w:val="bg-BG" w:eastAsia="bg-BG"/>
              </w:rPr>
            </w:pPr>
            <w:bookmarkStart w:id="18" w:name="_Toc445385315"/>
            <w:bookmarkStart w:id="19" w:name="_Toc445385569"/>
            <w:r>
              <w:rPr>
                <w:b/>
                <w:szCs w:val="24"/>
                <w:lang w:val="bg-BG" w:eastAsia="bg-BG"/>
              </w:rPr>
              <w:lastRenderedPageBreak/>
              <w:t xml:space="preserve">Всеки кандидат трябва да включи в секция 8 във Формуляра за </w:t>
            </w:r>
            <w:proofErr w:type="spellStart"/>
            <w:r>
              <w:rPr>
                <w:b/>
                <w:szCs w:val="24"/>
                <w:lang w:val="bg-BG" w:eastAsia="bg-BG"/>
              </w:rPr>
              <w:t>кандидатстване</w:t>
            </w:r>
            <w:r>
              <w:rPr>
                <w:b/>
                <w:szCs w:val="24"/>
                <w:u w:val="single"/>
                <w:lang w:val="bg-BG" w:eastAsia="bg-BG"/>
              </w:rPr>
              <w:t>всички</w:t>
            </w:r>
            <w:proofErr w:type="spellEnd"/>
            <w:r>
              <w:rPr>
                <w:b/>
                <w:szCs w:val="24"/>
                <w:u w:val="single"/>
                <w:lang w:val="bg-BG" w:eastAsia="bg-BG"/>
              </w:rPr>
              <w:t xml:space="preserve"> или тези от индикаторите за изпълнение и резултат</w:t>
            </w:r>
            <w:r>
              <w:rPr>
                <w:szCs w:val="24"/>
                <w:lang w:val="bg-BG" w:eastAsia="bg-BG"/>
              </w:rPr>
              <w:t xml:space="preserve">, които ще постигне с изпълнението на конкретния проект. </w:t>
            </w:r>
          </w:p>
          <w:p w14:paraId="50AD626B" w14:textId="77777777" w:rsidR="009C0430" w:rsidRDefault="00B27CD4">
            <w:pPr>
              <w:pStyle w:val="Text1"/>
              <w:spacing w:before="120" w:after="120"/>
              <w:ind w:left="0"/>
              <w:outlineLvl w:val="0"/>
              <w:rPr>
                <w:szCs w:val="24"/>
                <w:lang w:val="bg-BG" w:eastAsia="bg-BG"/>
              </w:rPr>
            </w:pPr>
            <w:r>
              <w:rPr>
                <w:szCs w:val="24"/>
                <w:lang w:val="bg-BG" w:eastAsia="bg-BG"/>
              </w:rPr>
              <w:t xml:space="preserve">Всеки индикатор, включен в проектното предложение трябва да бъде количествено определен, с положителна </w:t>
            </w:r>
            <w:r>
              <w:rPr>
                <w:b/>
                <w:szCs w:val="24"/>
                <w:lang w:val="bg-BG" w:eastAsia="bg-BG"/>
              </w:rPr>
              <w:t>целева стойност</w:t>
            </w:r>
            <w:r>
              <w:rPr>
                <w:szCs w:val="24"/>
                <w:lang w:val="bg-BG" w:eastAsia="bg-BG"/>
              </w:rPr>
              <w:t>, различна от “0”.</w:t>
            </w:r>
            <w:bookmarkEnd w:id="18"/>
            <w:bookmarkEnd w:id="19"/>
            <w:r>
              <w:rPr>
                <w:szCs w:val="24"/>
                <w:lang w:val="bg-BG" w:eastAsia="bg-BG"/>
              </w:rPr>
              <w:t>Заложеното количество трябва да съответства на описанието на включените в проекта дейности и кореспондиращите им разходи.</w:t>
            </w:r>
          </w:p>
          <w:p w14:paraId="26A57F42" w14:textId="77777777" w:rsidR="009C0430" w:rsidRDefault="00B27CD4">
            <w:pPr>
              <w:pStyle w:val="Text1"/>
              <w:spacing w:before="120" w:after="120"/>
              <w:ind w:left="0"/>
              <w:outlineLvl w:val="0"/>
              <w:rPr>
                <w:szCs w:val="24"/>
                <w:lang w:val="bg-BG" w:eastAsia="bg-BG"/>
              </w:rPr>
            </w:pPr>
            <w:r>
              <w:rPr>
                <w:szCs w:val="24"/>
                <w:lang w:val="bg-BG" w:eastAsia="bg-BG"/>
              </w:rPr>
              <w:t>В случай, че във Формуляра за кандидатстване не са включени приложимите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bl>
    <w:p w14:paraId="19F9E60F" w14:textId="77777777" w:rsidR="009C0430" w:rsidRDefault="00B27CD4">
      <w:pPr>
        <w:pStyle w:val="1"/>
      </w:pPr>
      <w:bookmarkStart w:id="20" w:name="_Toc445385573"/>
      <w:bookmarkStart w:id="21" w:name="_Toc488319642"/>
      <w:r>
        <w:lastRenderedPageBreak/>
        <w:t>8. Общ размер на безвъзмездната финансова помощ по процедурата:</w:t>
      </w:r>
      <w:bookmarkEnd w:id="20"/>
      <w:bookmarkEnd w:id="21"/>
    </w:p>
    <w:tbl>
      <w:tblPr>
        <w:tblStyle w:val="afe"/>
        <w:tblW w:w="0" w:type="auto"/>
        <w:tblLook w:val="04A0" w:firstRow="1" w:lastRow="0" w:firstColumn="1" w:lastColumn="0" w:noHBand="0" w:noVBand="1"/>
      </w:tblPr>
      <w:tblGrid>
        <w:gridCol w:w="3307"/>
        <w:gridCol w:w="2664"/>
        <w:gridCol w:w="3375"/>
      </w:tblGrid>
      <w:tr w:rsidR="009C0430" w14:paraId="7EF44802" w14:textId="77777777">
        <w:trPr>
          <w:trHeight w:val="698"/>
        </w:trPr>
        <w:tc>
          <w:tcPr>
            <w:tcW w:w="3307" w:type="dxa"/>
          </w:tcPr>
          <w:p w14:paraId="22FB820D" w14:textId="77777777" w:rsidR="009C0430" w:rsidRDefault="00B27CD4">
            <w:pPr>
              <w:spacing w:line="320" w:lineRule="atLeast"/>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Общ размер на безвъзмездната финансова помощ</w:t>
            </w:r>
          </w:p>
        </w:tc>
        <w:tc>
          <w:tcPr>
            <w:tcW w:w="2664" w:type="dxa"/>
          </w:tcPr>
          <w:p w14:paraId="25B8F3D5" w14:textId="77777777" w:rsidR="009C0430" w:rsidRDefault="00B27CD4">
            <w:pPr>
              <w:spacing w:line="320" w:lineRule="atLeast"/>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Средства от ЕСФ</w:t>
            </w:r>
          </w:p>
          <w:p w14:paraId="436EF451" w14:textId="77777777" w:rsidR="009C0430" w:rsidRDefault="00B27CD4">
            <w:pPr>
              <w:spacing w:line="320" w:lineRule="atLeast"/>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(сума/процент)</w:t>
            </w:r>
          </w:p>
        </w:tc>
        <w:tc>
          <w:tcPr>
            <w:tcW w:w="3375" w:type="dxa"/>
          </w:tcPr>
          <w:p w14:paraId="129F9B46" w14:textId="77777777" w:rsidR="009C0430" w:rsidRDefault="00B27CD4">
            <w:pPr>
              <w:spacing w:line="320" w:lineRule="atLeast"/>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Национално съфинансиране</w:t>
            </w:r>
          </w:p>
          <w:p w14:paraId="101489B9" w14:textId="77777777" w:rsidR="009C0430" w:rsidRDefault="00B27CD4">
            <w:pPr>
              <w:spacing w:line="320" w:lineRule="atLeast"/>
              <w:rPr>
                <w:rFonts w:ascii="Times New Roman" w:eastAsia="Times New Roman" w:hAnsi="Times New Roman" w:cs="Times New Roman"/>
                <w:sz w:val="20"/>
                <w:szCs w:val="20"/>
                <w:lang w:eastAsia="bg-BG"/>
              </w:rPr>
            </w:pPr>
            <w:r>
              <w:rPr>
                <w:rFonts w:ascii="Times New Roman" w:eastAsia="Times New Roman" w:hAnsi="Times New Roman" w:cs="Times New Roman"/>
                <w:b/>
                <w:sz w:val="24"/>
                <w:szCs w:val="24"/>
                <w:lang w:eastAsia="bg-BG"/>
              </w:rPr>
              <w:t>(сума/процент)</w:t>
            </w:r>
          </w:p>
        </w:tc>
      </w:tr>
      <w:tr w:rsidR="009C0430" w14:paraId="324BDB67" w14:textId="77777777">
        <w:trPr>
          <w:trHeight w:val="563"/>
        </w:trPr>
        <w:tc>
          <w:tcPr>
            <w:tcW w:w="3307" w:type="dxa"/>
            <w:vAlign w:val="center"/>
          </w:tcPr>
          <w:p w14:paraId="7C7B71B4" w14:textId="77777777" w:rsidR="009C0430" w:rsidRDefault="00B27CD4">
            <w:pPr>
              <w:pStyle w:val="Default"/>
              <w:rPr>
                <w:i/>
              </w:rPr>
            </w:pPr>
            <w:r>
              <w:t>Общо – 600 430,80 лв. (100%)</w:t>
            </w:r>
          </w:p>
        </w:tc>
        <w:tc>
          <w:tcPr>
            <w:tcW w:w="2664" w:type="dxa"/>
            <w:vAlign w:val="center"/>
          </w:tcPr>
          <w:p w14:paraId="26C605B2" w14:textId="77777777" w:rsidR="009C0430" w:rsidRDefault="00B27CD4">
            <w:pPr>
              <w:pStyle w:val="Default"/>
              <w:rPr>
                <w:i/>
              </w:rPr>
            </w:pPr>
            <w:r>
              <w:t>510366,18 лв. (85 %)</w:t>
            </w:r>
          </w:p>
        </w:tc>
        <w:tc>
          <w:tcPr>
            <w:tcW w:w="3375" w:type="dxa"/>
            <w:vAlign w:val="center"/>
          </w:tcPr>
          <w:p w14:paraId="15D54885" w14:textId="77777777" w:rsidR="009C0430" w:rsidRDefault="00B27CD4">
            <w:pPr>
              <w:pStyle w:val="Default"/>
              <w:rPr>
                <w:i/>
              </w:rPr>
            </w:pPr>
            <w:r>
              <w:t>90064,62 лв. (15 %)</w:t>
            </w:r>
          </w:p>
        </w:tc>
      </w:tr>
      <w:tr w:rsidR="009C0430" w14:paraId="6AEA6E24" w14:textId="77777777">
        <w:trPr>
          <w:trHeight w:val="697"/>
        </w:trPr>
        <w:tc>
          <w:tcPr>
            <w:tcW w:w="9346" w:type="dxa"/>
            <w:gridSpan w:val="3"/>
          </w:tcPr>
          <w:p w14:paraId="232CC407" w14:textId="77777777" w:rsidR="009C0430" w:rsidRDefault="009C0430">
            <w:pPr>
              <w:pStyle w:val="Default"/>
              <w:jc w:val="both"/>
              <w:rPr>
                <w:i/>
              </w:rPr>
            </w:pPr>
          </w:p>
          <w:p w14:paraId="07691092" w14:textId="77777777" w:rsidR="009C0430" w:rsidRDefault="00B27CD4">
            <w:pPr>
              <w:pStyle w:val="Default"/>
              <w:jc w:val="both"/>
            </w:pPr>
            <w:r>
              <w:t>Това е общият размер на бюджета по тази процедура за предоставяне на безвъзмездна финансова помощ. МИГ има правото да не разпредели посочената по-горе сума при недостатъчен брой качествени предложения, отговарящи на предварително зададените критерии.</w:t>
            </w:r>
          </w:p>
          <w:p w14:paraId="64AD6437" w14:textId="77777777" w:rsidR="009C0430" w:rsidRDefault="009C0430">
            <w:pPr>
              <w:pStyle w:val="Default"/>
              <w:jc w:val="both"/>
              <w:rPr>
                <w:b/>
              </w:rPr>
            </w:pPr>
          </w:p>
        </w:tc>
      </w:tr>
    </w:tbl>
    <w:p w14:paraId="3E9044F4" w14:textId="77777777" w:rsidR="009C0430" w:rsidRDefault="00B27CD4">
      <w:pPr>
        <w:pStyle w:val="1"/>
      </w:pPr>
      <w:bookmarkStart w:id="22" w:name="_Toc488319643"/>
      <w:bookmarkStart w:id="23" w:name="_Toc445385574"/>
      <w:r>
        <w:t>9. Минимален и максимален размер на безвъзмездната финансова помощ за конкретен проект:</w:t>
      </w:r>
      <w:bookmarkEnd w:id="22"/>
      <w:bookmarkEnd w:id="23"/>
    </w:p>
    <w:p w14:paraId="3FB21171" w14:textId="77777777" w:rsidR="009C0430" w:rsidRDefault="00B27CD4">
      <w:pPr>
        <w:pStyle w:val="a0"/>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  </w:t>
      </w:r>
    </w:p>
    <w:p w14:paraId="2D53FCDC" w14:textId="77777777" w:rsidR="009C0430" w:rsidRDefault="009C0430">
      <w:pPr>
        <w:pStyle w:val="a0"/>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p>
    <w:p w14:paraId="0A18517A" w14:textId="77777777" w:rsidR="009C0430" w:rsidRDefault="00B27CD4">
      <w:pPr>
        <w:pStyle w:val="a0"/>
        <w:numPr>
          <w:ilvl w:val="0"/>
          <w:numId w:val="4"/>
        </w:numPr>
        <w:pBdr>
          <w:top w:val="single" w:sz="4" w:space="1" w:color="auto"/>
          <w:left w:val="single" w:sz="4" w:space="4" w:color="auto"/>
          <w:bottom w:val="single" w:sz="4" w:space="1" w:color="auto"/>
          <w:right w:val="single" w:sz="4" w:space="4" w:color="auto"/>
        </w:pBdr>
        <w:spacing w:after="360"/>
        <w:rPr>
          <w:rFonts w:ascii="Times New Roman" w:hAnsi="Times New Roman" w:cs="Times New Roman"/>
          <w:b/>
          <w:sz w:val="24"/>
          <w:szCs w:val="24"/>
        </w:rPr>
      </w:pPr>
      <w:r>
        <w:rPr>
          <w:rFonts w:ascii="Times New Roman" w:hAnsi="Times New Roman" w:cs="Times New Roman"/>
          <w:b/>
          <w:sz w:val="24"/>
          <w:szCs w:val="24"/>
        </w:rPr>
        <w:t xml:space="preserve">Минимален размер на безвъзмездната финансова помощ: 48 895,75 лева </w:t>
      </w:r>
    </w:p>
    <w:p w14:paraId="61FA68B8" w14:textId="77777777" w:rsidR="009C0430" w:rsidRDefault="00B27CD4">
      <w:pPr>
        <w:pStyle w:val="a0"/>
        <w:numPr>
          <w:ilvl w:val="0"/>
          <w:numId w:val="4"/>
        </w:numPr>
        <w:pBdr>
          <w:top w:val="single" w:sz="4" w:space="1" w:color="auto"/>
          <w:left w:val="single" w:sz="4" w:space="4" w:color="auto"/>
          <w:bottom w:val="single" w:sz="4" w:space="1" w:color="auto"/>
          <w:right w:val="single" w:sz="4" w:space="4" w:color="auto"/>
        </w:pBdr>
        <w:spacing w:after="360"/>
        <w:rPr>
          <w:rFonts w:ascii="Times New Roman" w:hAnsi="Times New Roman" w:cs="Times New Roman"/>
          <w:b/>
          <w:sz w:val="24"/>
          <w:szCs w:val="24"/>
        </w:rPr>
      </w:pPr>
      <w:r>
        <w:rPr>
          <w:rFonts w:ascii="Times New Roman" w:hAnsi="Times New Roman" w:cs="Times New Roman"/>
          <w:b/>
          <w:sz w:val="24"/>
          <w:szCs w:val="24"/>
        </w:rPr>
        <w:t xml:space="preserve">Максимален размер на безвъзмездната финансова помощ: 391 166,00 лева </w:t>
      </w:r>
    </w:p>
    <w:p w14:paraId="5E904BE9" w14:textId="77777777" w:rsidR="009C0430" w:rsidRDefault="00B27CD4">
      <w:pPr>
        <w:pStyle w:val="a0"/>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Pr>
          <w:rFonts w:ascii="Times New Roman" w:hAnsi="Times New Roman" w:cs="Times New Roman"/>
          <w:sz w:val="24"/>
          <w:szCs w:val="24"/>
        </w:rPr>
        <w:t>В минималния и максималния размер на безвъзмездна финансова помощ се включват планираните преки и непреки разходи в бюджета на всяко едно проектно предложение.</w:t>
      </w:r>
    </w:p>
    <w:p w14:paraId="60BD0727" w14:textId="77777777" w:rsidR="009C0430" w:rsidRDefault="009C0430">
      <w:pPr>
        <w:pStyle w:val="a0"/>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p>
    <w:p w14:paraId="4EC85762" w14:textId="77777777" w:rsidR="009C0430" w:rsidRDefault="00B27CD4">
      <w:pPr>
        <w:pStyle w:val="1"/>
        <w:rPr>
          <w:sz w:val="24"/>
          <w:szCs w:val="24"/>
        </w:rPr>
      </w:pPr>
      <w:bookmarkStart w:id="24" w:name="_Toc445385575"/>
      <w:bookmarkStart w:id="25" w:name="_Toc488319644"/>
      <w:r>
        <w:t>10. Процент на съфинансиране:</w:t>
      </w:r>
      <w:bookmarkEnd w:id="24"/>
      <w:bookmarkEnd w:id="25"/>
    </w:p>
    <w:p w14:paraId="76CD19DF" w14:textId="77777777" w:rsidR="009C0430" w:rsidRDefault="00B27CD4">
      <w:pPr>
        <w:pStyle w:val="a0"/>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Максималният интензитет на БФП е </w:t>
      </w:r>
      <w:r>
        <w:rPr>
          <w:rFonts w:ascii="Times New Roman" w:hAnsi="Times New Roman" w:cs="Times New Roman"/>
          <w:b/>
          <w:sz w:val="24"/>
          <w:szCs w:val="24"/>
        </w:rPr>
        <w:t>до 100%</w:t>
      </w:r>
      <w:r>
        <w:rPr>
          <w:rFonts w:ascii="Times New Roman" w:hAnsi="Times New Roman" w:cs="Times New Roman"/>
          <w:sz w:val="24"/>
          <w:szCs w:val="24"/>
        </w:rPr>
        <w:t xml:space="preserve"> от общата стойност на допустимите разходи.</w:t>
      </w:r>
    </w:p>
    <w:p w14:paraId="356686F5" w14:textId="77777777" w:rsidR="009C0430" w:rsidRDefault="00B27CD4">
      <w:pPr>
        <w:pStyle w:val="1"/>
      </w:pPr>
      <w:bookmarkStart w:id="26" w:name="_Toc445385576"/>
      <w:bookmarkStart w:id="27" w:name="_Toc488319645"/>
      <w:r>
        <w:t>11. Допустими кандидати:</w:t>
      </w:r>
      <w:bookmarkEnd w:id="26"/>
      <w:bookmarkEnd w:id="27"/>
    </w:p>
    <w:p w14:paraId="39544417" w14:textId="77777777" w:rsidR="009C0430" w:rsidRDefault="00B27CD4">
      <w:pPr>
        <w:pStyle w:val="2"/>
      </w:pPr>
      <w:bookmarkStart w:id="28" w:name="_Toc445385577"/>
      <w:bookmarkStart w:id="29" w:name="_Toc488319646"/>
      <w:r>
        <w:t>11.1. Общи изисквания за допустимост на кандидата и партньора/</w:t>
      </w:r>
      <w:proofErr w:type="spellStart"/>
      <w:r>
        <w:t>ите</w:t>
      </w:r>
      <w:proofErr w:type="spellEnd"/>
      <w:r>
        <w:t>:</w:t>
      </w:r>
      <w:bookmarkEnd w:id="28"/>
      <w:bookmarkEnd w:id="29"/>
    </w:p>
    <w:tbl>
      <w:tblPr>
        <w:tblStyle w:val="afe"/>
        <w:tblW w:w="0" w:type="auto"/>
        <w:tblLook w:val="04A0" w:firstRow="1" w:lastRow="0" w:firstColumn="1" w:lastColumn="0" w:noHBand="0" w:noVBand="1"/>
      </w:tblPr>
      <w:tblGrid>
        <w:gridCol w:w="9496"/>
      </w:tblGrid>
      <w:tr w:rsidR="009C0430" w14:paraId="636D2B78" w14:textId="77777777">
        <w:tc>
          <w:tcPr>
            <w:tcW w:w="9496" w:type="dxa"/>
          </w:tcPr>
          <w:p w14:paraId="70C4ED1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„Кандидати за безвъзмездна финансова помощ" са всички физически и юридически лица </w:t>
            </w:r>
            <w:r>
              <w:rPr>
                <w:rFonts w:ascii="Times New Roman" w:eastAsia="Times New Roman" w:hAnsi="Times New Roman" w:cs="Times New Roman"/>
                <w:sz w:val="24"/>
                <w:szCs w:val="24"/>
                <w:lang w:eastAsia="bg-BG"/>
              </w:rPr>
              <w:lastRenderedPageBreak/>
              <w:t>и техни обединения, които кандидатстват за безвъзмездна финансова помощ чрез подаване на проектно предложение.</w:t>
            </w:r>
          </w:p>
          <w:p w14:paraId="4DC850D0"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18D12417"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Във връзка с тези изисквания, към момента на кандидатстване, кандидатите/партньорите декларират посочените в Декларация на кандидата/партньора (Приложение ІІ) обстоятелства.</w:t>
            </w:r>
          </w:p>
          <w:p w14:paraId="2A6248BE"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Кандидати/партньори общини към момента на кандидатстване декларират посочените обстоятелства в Декларация на кандидата/партньора общини (Приложение ІІ-1) – ако е приложимо.</w:t>
            </w:r>
          </w:p>
          <w:p w14:paraId="178D7851"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Изискванията са задължителни за кандидата и партньора/-</w:t>
            </w:r>
            <w:proofErr w:type="spellStart"/>
            <w:r>
              <w:rPr>
                <w:rFonts w:ascii="Times New Roman" w:eastAsia="Times New Roman" w:hAnsi="Times New Roman" w:cs="Times New Roman"/>
                <w:b/>
                <w:sz w:val="24"/>
                <w:szCs w:val="24"/>
                <w:lang w:eastAsia="bg-BG"/>
              </w:rPr>
              <w:t>ите</w:t>
            </w:r>
            <w:proofErr w:type="spellEnd"/>
            <w:r>
              <w:rPr>
                <w:rFonts w:ascii="Times New Roman" w:eastAsia="Times New Roman" w:hAnsi="Times New Roman" w:cs="Times New Roman"/>
                <w:b/>
                <w:sz w:val="24"/>
                <w:szCs w:val="24"/>
                <w:lang w:eastAsia="bg-BG"/>
              </w:rPr>
              <w:t>.</w:t>
            </w:r>
          </w:p>
          <w:p w14:paraId="294D865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Pr>
                <w:rFonts w:ascii="Times New Roman" w:eastAsia="Times New Roman" w:hAnsi="Times New Roman" w:cs="Times New Roman"/>
                <w:sz w:val="24"/>
                <w:szCs w:val="24"/>
                <w:lang w:eastAsia="bg-BG"/>
              </w:rPr>
              <w:t>гo</w:t>
            </w:r>
            <w:proofErr w:type="spellEnd"/>
            <w:r>
              <w:rPr>
                <w:rFonts w:ascii="Times New Roman" w:eastAsia="Times New Roman" w:hAnsi="Times New Roman" w:cs="Times New Roman"/>
                <w:sz w:val="24"/>
                <w:szCs w:val="24"/>
                <w:lang w:eastAsia="bg-BG"/>
              </w:rPr>
              <w:t xml:space="preserve"> представляват заедно и/или поотделно, и са вписани в търговския регистър и в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1E281D1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Преди сключване на административния договор, декларираните обстоятелства се доказват и се извършва проверка от УО, относно същите:</w:t>
            </w:r>
          </w:p>
          <w:p w14:paraId="03F1A307"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ab/>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6807ED93"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ab/>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13321CC9"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Освен гореизброените изисквания, кандидатът/партньорът/</w:t>
            </w:r>
            <w:proofErr w:type="spellStart"/>
            <w:r>
              <w:rPr>
                <w:rFonts w:ascii="Times New Roman" w:eastAsia="Times New Roman" w:hAnsi="Times New Roman" w:cs="Times New Roman"/>
                <w:b/>
                <w:sz w:val="24"/>
                <w:szCs w:val="24"/>
                <w:lang w:eastAsia="bg-BG"/>
              </w:rPr>
              <w:t>ите</w:t>
            </w:r>
            <w:proofErr w:type="spellEnd"/>
            <w:r>
              <w:rPr>
                <w:rFonts w:ascii="Times New Roman" w:eastAsia="Times New Roman" w:hAnsi="Times New Roman" w:cs="Times New Roman"/>
                <w:b/>
                <w:sz w:val="24"/>
                <w:szCs w:val="24"/>
                <w:lang w:eastAsia="bg-BG"/>
              </w:rPr>
              <w:t>, трябва да отговарят и на следните изисквания:</w:t>
            </w:r>
          </w:p>
          <w:p w14:paraId="04871294" w14:textId="77777777" w:rsidR="009C0430" w:rsidRDefault="00B27CD4">
            <w:pPr>
              <w:pStyle w:val="a0"/>
              <w:numPr>
                <w:ilvl w:val="0"/>
                <w:numId w:val="5"/>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Кандидатът е лице със самостоятелна правосубектност, регистриран и имащ право да осъществява дейност на територията на Република България в съответствие с действащото българско законодателство и има седалище и адрес на управление на територията на действие на МИГ "Мъглиж, Казанлък, </w:t>
            </w:r>
            <w:proofErr w:type="spellStart"/>
            <w:r>
              <w:rPr>
                <w:rFonts w:ascii="Times New Roman" w:eastAsia="Times New Roman" w:hAnsi="Times New Roman" w:cs="Times New Roman"/>
                <w:sz w:val="24"/>
                <w:szCs w:val="24"/>
                <w:lang w:eastAsia="bg-BG"/>
              </w:rPr>
              <w:t>Гурково"и</w:t>
            </w:r>
            <w:proofErr w:type="spellEnd"/>
            <w:r>
              <w:rPr>
                <w:rFonts w:ascii="Times New Roman" w:eastAsia="Times New Roman" w:hAnsi="Times New Roman" w:cs="Times New Roman"/>
                <w:sz w:val="24"/>
                <w:szCs w:val="24"/>
                <w:lang w:eastAsia="bg-BG"/>
              </w:rPr>
              <w:t xml:space="preserve"> осъществява дейностите по проекта на територията на действие на </w:t>
            </w:r>
            <w:proofErr w:type="spellStart"/>
            <w:r>
              <w:rPr>
                <w:rFonts w:ascii="Times New Roman" w:eastAsia="Times New Roman" w:hAnsi="Times New Roman" w:cs="Times New Roman"/>
                <w:sz w:val="24"/>
                <w:szCs w:val="24"/>
                <w:lang w:eastAsia="bg-BG"/>
              </w:rPr>
              <w:t>МИГ"Мъглиж</w:t>
            </w:r>
            <w:proofErr w:type="spellEnd"/>
            <w:r>
              <w:rPr>
                <w:rFonts w:ascii="Times New Roman" w:eastAsia="Times New Roman" w:hAnsi="Times New Roman" w:cs="Times New Roman"/>
                <w:sz w:val="24"/>
                <w:szCs w:val="24"/>
                <w:lang w:eastAsia="bg-BG"/>
              </w:rPr>
              <w:t xml:space="preserve">, Казанлък, </w:t>
            </w:r>
            <w:proofErr w:type="spellStart"/>
            <w:r>
              <w:rPr>
                <w:rFonts w:ascii="Times New Roman" w:eastAsia="Times New Roman" w:hAnsi="Times New Roman" w:cs="Times New Roman"/>
                <w:sz w:val="24"/>
                <w:szCs w:val="24"/>
                <w:lang w:eastAsia="bg-BG"/>
              </w:rPr>
              <w:t>Гурково".Кандидатът</w:t>
            </w:r>
            <w:proofErr w:type="spellEnd"/>
            <w:r>
              <w:rPr>
                <w:rFonts w:ascii="Times New Roman" w:eastAsia="Times New Roman" w:hAnsi="Times New Roman" w:cs="Times New Roman"/>
                <w:sz w:val="24"/>
                <w:szCs w:val="24"/>
                <w:lang w:eastAsia="bg-BG"/>
              </w:rPr>
              <w:t xml:space="preserve"> и партньорът/</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отговарят на изискванията за предоставяне на минимални помощи, в съответствие с Регламент (ЕС) № 1407/2013; (ако е приложимо)</w:t>
            </w:r>
          </w:p>
          <w:p w14:paraId="4CE07D26" w14:textId="77777777" w:rsidR="009C0430" w:rsidRDefault="00B27CD4">
            <w:pPr>
              <w:pStyle w:val="a0"/>
              <w:numPr>
                <w:ilvl w:val="0"/>
                <w:numId w:val="5"/>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случаите, в които кандидат е община, разпоредбите на Регламент (ЕС) № 1407/2013 на Комисията от 18 декември 2013 година не са приложими</w:t>
            </w:r>
          </w:p>
          <w:p w14:paraId="5B2DFC49"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Всички обстоятелства, свързани с изискванията на Регламент (ЕС) № 1407/2013 се приемат на декларативен принцип. Подробна проверка на декларираните обстоятелства ще се извършва преди сключването на административен договор за предоставяне на безвъзмездна финансова помощ.</w:t>
            </w:r>
          </w:p>
          <w:p w14:paraId="0E34626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За да удостоверят икономическата си дейност, всички кандидати и партньори по процедурата следва да посочат във Формуляра за кандидатстване в раздел 2 „Данни за кандидата“/ раздел 3 „Данни за партньори“ (ако е приложимо)„Код на организацията по КИД 2008“ и „Код на проекта по КИД 2008“, както и да декларират това обстоятелство в Приложение III - Декларация за минимални и държавни помощи - кодовете по КИД на основната и допълнителна икономическа дейност.</w:t>
            </w:r>
          </w:p>
          <w:p w14:paraId="0AB0A447" w14:textId="77777777" w:rsidR="009C0430" w:rsidRDefault="00B27CD4">
            <w:pPr>
              <w:pStyle w:val="Default"/>
              <w:jc w:val="both"/>
            </w:pPr>
            <w:r>
              <w:t xml:space="preserve">За определяне на </w:t>
            </w:r>
            <w:proofErr w:type="spellStart"/>
            <w:r>
              <w:t>допустимосттасе</w:t>
            </w:r>
            <w:proofErr w:type="spellEnd"/>
            <w:r>
              <w:t xml:space="preserve"> използва Класификация на икономическите дейности (КИД-2008)</w:t>
            </w:r>
          </w:p>
          <w:p w14:paraId="359ADF82" w14:textId="77777777" w:rsidR="009C0430" w:rsidRDefault="009C0430">
            <w:pPr>
              <w:pStyle w:val="Default"/>
              <w:jc w:val="both"/>
            </w:pPr>
          </w:p>
          <w:p w14:paraId="117D3C0C" w14:textId="77777777" w:rsidR="009C0430" w:rsidRDefault="00B27CD4">
            <w:pPr>
              <w:pStyle w:val="Default"/>
              <w:ind w:left="720"/>
              <w:jc w:val="both"/>
            </w:pPr>
            <w:r>
              <w:t xml:space="preserve"> Кандидатът/партньорът разполага/т с финансов капацитет:</w:t>
            </w:r>
          </w:p>
          <w:p w14:paraId="0C754638" w14:textId="77777777" w:rsidR="009C0430" w:rsidRDefault="009C0430">
            <w:pPr>
              <w:pStyle w:val="Default"/>
              <w:ind w:left="720"/>
              <w:jc w:val="both"/>
            </w:pPr>
          </w:p>
          <w:p w14:paraId="0A138C1E" w14:textId="77777777" w:rsidR="009C0430" w:rsidRDefault="00B27CD4">
            <w:pPr>
              <w:pStyle w:val="Default"/>
              <w:jc w:val="both"/>
            </w:pPr>
            <w:r>
              <w:t xml:space="preserve"> - Когато кандидатите и партньорите са различни от общини и не са новосъздадени организации, се извършва служебна проверка в Националния статистически институт (НСИ) на данните от счетоводния баланс на организацията за последната финансова година (текуща печалба/загуба, стойност на собствения капитал и стойност на актива). В случай че кандидатът/партньорите не са представили в НСИ финансови отчети за предходната финансова година, следва да се приложи Счетоводния баланс в секция 12 на ИСУН 2020 на етап подаване на проектно предложение. </w:t>
            </w:r>
          </w:p>
          <w:p w14:paraId="2AF31019" w14:textId="77777777" w:rsidR="009C0430" w:rsidRDefault="00B27CD4">
            <w:pPr>
              <w:pStyle w:val="Default"/>
              <w:jc w:val="both"/>
            </w:pPr>
            <w:r>
              <w:t>- Когато кандидатът/партньорът е новорегистрирана/новосъздадена през текущата година организация, следва да приложи в секция 12 на ИСУН 2020 Счетоводен баланс за периода от регистрацията на кандидата/партньора до последната дата на месеца, предхождащ месеца на кандидатстване.</w:t>
            </w:r>
          </w:p>
          <w:p w14:paraId="49BD6792" w14:textId="77777777" w:rsidR="009C0430" w:rsidRDefault="00B27CD4">
            <w:pPr>
              <w:pStyle w:val="Default"/>
              <w:jc w:val="both"/>
            </w:pPr>
            <w:r>
              <w:t>Финансовият капацитет се изчислява на база Методика за оценка на финансовия   капацитет на кандидатите/партньорите по Оперативна програма „Развитие на човешките ресурси“ 2014 – 2020 г.</w:t>
            </w:r>
          </w:p>
          <w:p w14:paraId="023B39BD" w14:textId="77777777" w:rsidR="009C0430" w:rsidRDefault="00B27CD4">
            <w:pPr>
              <w:pStyle w:val="Default"/>
              <w:jc w:val="both"/>
            </w:pPr>
            <w:r>
              <w:t xml:space="preserve">    - Когато </w:t>
            </w:r>
            <w:r>
              <w:rPr>
                <w:b/>
              </w:rPr>
              <w:t>кандидатът е община</w:t>
            </w:r>
            <w:r>
              <w:t xml:space="preserve"> - това обстоятелство се проверява служебно от оценителната комисия в Закона за държавния бюджет. Счита се, че организацията разполага с необходимия финансов капацитет, ако утвърдените разходи по бюджета на общината за текущата година са по-високи от 20% от размера на исканата БФП.</w:t>
            </w:r>
          </w:p>
          <w:p w14:paraId="3522B824" w14:textId="77777777" w:rsidR="009C0430" w:rsidRDefault="00B27CD4">
            <w:pPr>
              <w:pStyle w:val="Default"/>
              <w:jc w:val="both"/>
            </w:pPr>
            <w:r>
              <w:t xml:space="preserve">- Когато </w:t>
            </w:r>
            <w:r>
              <w:rPr>
                <w:b/>
              </w:rPr>
              <w:t>партньорът е община</w:t>
            </w:r>
            <w:r>
              <w:t xml:space="preserve"> - това обстоятелство се проверява служебно от оценителната комисия в Закона за държавния бюджет. Счита се, че организацията разполага с необходимия финансов капацитет, ако утвърдените разходи по бюджета на общината за текущата година са по-високи от размера на средствата (БФП), които ще разходва партньорът.</w:t>
            </w:r>
          </w:p>
          <w:p w14:paraId="0FFF0491"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w:t>
            </w:r>
          </w:p>
          <w:p w14:paraId="455EDDB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На условието за финансов капацитет следва да отговаря всяка от организациите – кандидат и партньор/и по отделно.</w:t>
            </w:r>
          </w:p>
        </w:tc>
      </w:tr>
    </w:tbl>
    <w:p w14:paraId="6E2980F1" w14:textId="77777777" w:rsidR="009C0430" w:rsidRDefault="00B27CD4">
      <w:pPr>
        <w:pStyle w:val="2"/>
      </w:pPr>
      <w:bookmarkStart w:id="30" w:name="_Toc445385578"/>
      <w:bookmarkStart w:id="31" w:name="_Toc488319647"/>
      <w:r>
        <w:lastRenderedPageBreak/>
        <w:t>11.2. Специфични изисквания за допустимост на кандидата</w:t>
      </w:r>
      <w:bookmarkEnd w:id="30"/>
      <w:bookmarkEnd w:id="31"/>
    </w:p>
    <w:tbl>
      <w:tblPr>
        <w:tblStyle w:val="afe"/>
        <w:tblW w:w="0" w:type="auto"/>
        <w:tblLook w:val="04A0" w:firstRow="1" w:lastRow="0" w:firstColumn="1" w:lastColumn="0" w:noHBand="0" w:noVBand="1"/>
      </w:tblPr>
      <w:tblGrid>
        <w:gridCol w:w="9496"/>
      </w:tblGrid>
      <w:tr w:rsidR="009C0430" w14:paraId="19D3BEE0" w14:textId="77777777">
        <w:tc>
          <w:tcPr>
            <w:tcW w:w="9496" w:type="dxa"/>
          </w:tcPr>
          <w:p w14:paraId="4944A266" w14:textId="77777777" w:rsidR="009C0430" w:rsidRDefault="00B27CD4">
            <w:pPr>
              <w:pStyle w:val="Text1"/>
              <w:ind w:left="0"/>
              <w:rPr>
                <w:b/>
                <w:szCs w:val="24"/>
                <w:lang w:val="bg-BG" w:eastAsia="bg-BG"/>
              </w:rPr>
            </w:pPr>
            <w:r>
              <w:rPr>
                <w:b/>
                <w:szCs w:val="24"/>
                <w:lang w:val="bg-BG" w:eastAsia="bg-BG"/>
              </w:rPr>
              <w:t xml:space="preserve">В допълнение към общите изисквания, кандидатът трябва да отговаря и </w:t>
            </w:r>
            <w:proofErr w:type="spellStart"/>
            <w:r>
              <w:rPr>
                <w:b/>
                <w:szCs w:val="24"/>
                <w:lang w:val="bg-BG" w:eastAsia="bg-BG"/>
              </w:rPr>
              <w:t>наследните</w:t>
            </w:r>
            <w:proofErr w:type="spellEnd"/>
            <w:r>
              <w:rPr>
                <w:b/>
                <w:szCs w:val="24"/>
                <w:lang w:val="bg-BG" w:eastAsia="bg-BG"/>
              </w:rPr>
              <w:t xml:space="preserve"> условия:</w:t>
            </w:r>
          </w:p>
          <w:p w14:paraId="6916FED7" w14:textId="77777777" w:rsidR="009C0430" w:rsidRDefault="00B27CD4">
            <w:pPr>
              <w:pStyle w:val="a0"/>
              <w:spacing w:after="120"/>
              <w:ind w:left="0"/>
              <w:jc w:val="both"/>
              <w:rPr>
                <w:rFonts w:ascii="Times New Roman" w:eastAsia="Times New Roman" w:hAnsi="Times New Roman" w:cs="Times New Roman"/>
                <w:i/>
                <w:color w:val="FF0000"/>
                <w:sz w:val="24"/>
                <w:szCs w:val="24"/>
                <w:lang w:eastAsia="bg-BG"/>
              </w:rPr>
            </w:pPr>
            <w:r>
              <w:rPr>
                <w:rFonts w:ascii="Times New Roman" w:eastAsia="Times New Roman" w:hAnsi="Times New Roman" w:cs="Times New Roman"/>
                <w:b/>
                <w:sz w:val="24"/>
                <w:szCs w:val="24"/>
                <w:lang w:eastAsia="bg-BG"/>
              </w:rPr>
              <w:lastRenderedPageBreak/>
              <w:t xml:space="preserve">Допустими кандидати по настоящата </w:t>
            </w:r>
            <w:r>
              <w:rPr>
                <w:rFonts w:ascii="Times New Roman" w:eastAsia="Times New Roman" w:hAnsi="Times New Roman" w:cs="Times New Roman"/>
                <w:b/>
                <w:i/>
                <w:sz w:val="24"/>
                <w:szCs w:val="24"/>
                <w:lang w:eastAsia="bg-BG"/>
              </w:rPr>
              <w:t>процедура</w:t>
            </w:r>
            <w:r>
              <w:rPr>
                <w:rFonts w:ascii="Times New Roman" w:eastAsia="Times New Roman" w:hAnsi="Times New Roman" w:cs="Times New Roman"/>
                <w:b/>
                <w:sz w:val="24"/>
                <w:szCs w:val="24"/>
                <w:lang w:eastAsia="bg-BG"/>
              </w:rPr>
              <w:t xml:space="preserve"> са:</w:t>
            </w:r>
          </w:p>
          <w:p w14:paraId="323B6B80" w14:textId="77777777" w:rsidR="009C0430" w:rsidRDefault="00B27CD4">
            <w:pPr>
              <w:spacing w:before="120" w:after="120"/>
              <w:ind w:left="4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Доставчици на социални услуги</w:t>
            </w:r>
            <w:r>
              <w:rPr>
                <w:rStyle w:val="afb"/>
                <w:rFonts w:ascii="Times New Roman" w:eastAsia="Times New Roman" w:hAnsi="Times New Roman" w:cs="Times New Roman"/>
                <w:sz w:val="24"/>
                <w:szCs w:val="24"/>
                <w:lang w:eastAsia="bg-BG"/>
              </w:rPr>
              <w:footnoteReference w:id="4"/>
            </w:r>
            <w:r>
              <w:rPr>
                <w:rFonts w:ascii="Times New Roman" w:eastAsia="Times New Roman" w:hAnsi="Times New Roman" w:cs="Times New Roman"/>
                <w:sz w:val="24"/>
                <w:szCs w:val="24"/>
                <w:lang w:eastAsia="bg-BG"/>
              </w:rPr>
              <w:t>;</w:t>
            </w:r>
          </w:p>
          <w:p w14:paraId="2C97EED5" w14:textId="77777777" w:rsidR="009C0430" w:rsidRDefault="00B27CD4">
            <w:pPr>
              <w:spacing w:before="120" w:after="120"/>
              <w:ind w:left="4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Работодатели;</w:t>
            </w:r>
          </w:p>
          <w:p w14:paraId="5BB23958" w14:textId="77777777" w:rsidR="009C0430" w:rsidRDefault="00B27CD4">
            <w:pPr>
              <w:spacing w:before="120" w:after="120"/>
              <w:ind w:left="4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целите на настоящата процедура под „Работодател“ следва да се разбира всяко физическо лице или юридическо лице, което самостоятелно наема служители по трудово правоотношение (Кодекс на труда).</w:t>
            </w:r>
          </w:p>
          <w:p w14:paraId="5F4EC83F" w14:textId="77777777" w:rsidR="009C0430" w:rsidRDefault="00B27CD4">
            <w:pPr>
              <w:spacing w:before="120" w:after="120"/>
              <w:ind w:left="4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3.Общините Мъглиж</w:t>
            </w:r>
            <w:r w:rsidR="00DE7D1A">
              <w:rPr>
                <w:rFonts w:ascii="Times New Roman" w:eastAsia="Times New Roman" w:hAnsi="Times New Roman" w:cs="Times New Roman"/>
                <w:sz w:val="24"/>
                <w:szCs w:val="24"/>
                <w:lang w:eastAsia="bg-BG"/>
              </w:rPr>
              <w:t xml:space="preserve"> и </w:t>
            </w:r>
            <w:r>
              <w:rPr>
                <w:rFonts w:ascii="Times New Roman" w:eastAsia="Times New Roman" w:hAnsi="Times New Roman" w:cs="Times New Roman"/>
                <w:sz w:val="24"/>
                <w:szCs w:val="24"/>
                <w:lang w:eastAsia="bg-BG"/>
              </w:rPr>
              <w:t>Гурково .</w:t>
            </w:r>
          </w:p>
          <w:p w14:paraId="6C650C93"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Проектните предложения трябва да включват задължително направление </w:t>
            </w:r>
            <w:r>
              <w:rPr>
                <w:rFonts w:ascii="Times New Roman" w:eastAsia="Times New Roman" w:hAnsi="Times New Roman" w:cs="Times New Roman"/>
                <w:b/>
                <w:i/>
                <w:sz w:val="24"/>
                <w:szCs w:val="24"/>
                <w:lang w:eastAsia="bg-BG"/>
              </w:rPr>
              <w:t>„Подобряване достъпа до социални и здравни услуги“</w:t>
            </w:r>
            <w:r>
              <w:rPr>
                <w:rFonts w:ascii="Times New Roman" w:eastAsia="Times New Roman" w:hAnsi="Times New Roman" w:cs="Times New Roman"/>
                <w:sz w:val="24"/>
                <w:szCs w:val="24"/>
                <w:lang w:eastAsia="bg-BG"/>
              </w:rPr>
              <w:t xml:space="preserve"> + допълнителна втора сфера и да са в съответствие с Националната стратегия на Република България за интегриране на ромите, с областните стратегия на област Стара Загора, </w:t>
            </w:r>
            <w:proofErr w:type="spellStart"/>
            <w:r>
              <w:rPr>
                <w:rFonts w:ascii="Times New Roman" w:eastAsia="Times New Roman" w:hAnsi="Times New Roman" w:cs="Times New Roman"/>
                <w:sz w:val="24"/>
                <w:szCs w:val="24"/>
                <w:lang w:eastAsia="bg-BG"/>
              </w:rPr>
              <w:t>кактои</w:t>
            </w:r>
            <w:proofErr w:type="spellEnd"/>
            <w:r>
              <w:rPr>
                <w:rFonts w:ascii="Times New Roman" w:eastAsia="Times New Roman" w:hAnsi="Times New Roman" w:cs="Times New Roman"/>
                <w:sz w:val="24"/>
                <w:szCs w:val="24"/>
                <w:lang w:eastAsia="bg-BG"/>
              </w:rPr>
              <w:t xml:space="preserve"> общинския план за интеграция на съответната община. </w:t>
            </w:r>
          </w:p>
          <w:p w14:paraId="7BA04E9F"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Когато кандидатът е община и тя кандидатства с партньор/и или партньор по проекта е община, тя трябва да представи Решение на Общинския съвет за 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p>
          <w:p w14:paraId="4FF52744"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случай, че в посочените срокове за подаване на проектни предложения не е предвидена сесия на Общинският съвет, е допустимо Решенията да бъдат представени по време на оценката или преди сключване на договор. Управляващият орган ще откаже да сключи договор с община, в случай че не са представени посочените Решения на ОбС. </w:t>
            </w:r>
          </w:p>
          <w:p w14:paraId="0AF03F23"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В допълнение към общите изисквания, кандидатът трябва да отговаря и на следните условия:</w:t>
            </w:r>
          </w:p>
          <w:p w14:paraId="3DB2D69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Кандидатът трябва да е лице със самостоятелна правосубектност, регистриран и имащ право да осъществява дейност на територията на МИГ "Мъглиж, Казанлък, Гурково".</w:t>
            </w:r>
          </w:p>
          <w:p w14:paraId="10E02805"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Кандидатът трябва да е вписан в регистъра на Агенцията за социално подпомагане (АСП) като доставчик на социални услуги, когато ще предоставя или ще участва в предоставянето на социална/и услуга/и. Това обстоятелство ще се проверява служебно от оценителната комисия. </w:t>
            </w:r>
          </w:p>
          <w:p w14:paraId="026BF94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Кандидатът трябва да притежава лиценз от ДАЗД, когато ще предоставя социална услуга за деца по проекта. Това обстоятелство ще се проверява служебно от оценителната комисия. </w:t>
            </w:r>
          </w:p>
          <w:p w14:paraId="0346A16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.Когато кандидатът е община и тя кандидатства с партньор/и, тя трябва да представи Решение на Общинския съвет за 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p>
          <w:p w14:paraId="47AB0EB7"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5.Кандидатът е пряко отговорен за управлението и изпълнението на дейностите по проекта, а не изпълнява ролята на посредник (видно от разпределението на дейностите и разпределението на средствата по бюджета на кандидата и на партньора) /ако е приложимо/;</w:t>
            </w:r>
          </w:p>
          <w:p w14:paraId="08605D98"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Изискванията са задължителни за кандидата и партньора/-ите (ако е приложимо).</w:t>
            </w:r>
          </w:p>
          <w:p w14:paraId="73F33741" w14:textId="77777777" w:rsidR="009C0430" w:rsidRDefault="009C0430">
            <w:pPr>
              <w:spacing w:before="120" w:after="120"/>
              <w:jc w:val="both"/>
              <w:rPr>
                <w:rFonts w:ascii="Times New Roman" w:eastAsia="Times New Roman" w:hAnsi="Times New Roman" w:cs="Times New Roman"/>
                <w:b/>
                <w:sz w:val="24"/>
                <w:szCs w:val="24"/>
                <w:lang w:eastAsia="bg-BG"/>
              </w:rPr>
            </w:pPr>
          </w:p>
          <w:p w14:paraId="549BAACE"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Pr>
                <w:rFonts w:ascii="Times New Roman" w:eastAsia="Times New Roman" w:hAnsi="Times New Roman" w:cs="Times New Roman"/>
                <w:sz w:val="24"/>
                <w:szCs w:val="24"/>
                <w:lang w:eastAsia="bg-BG"/>
              </w:rPr>
              <w:t>гo</w:t>
            </w:r>
            <w:proofErr w:type="spellEnd"/>
            <w:r>
              <w:rPr>
                <w:rFonts w:ascii="Times New Roman" w:eastAsia="Times New Roman" w:hAnsi="Times New Roman" w:cs="Times New Roman"/>
                <w:sz w:val="24"/>
                <w:szCs w:val="24"/>
                <w:lang w:eastAsia="bg-BG"/>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72F473C7"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Преди сключване на административния договор, декларираните обстоятелства се доказват и се извършва проверка от УО, относно същите:</w:t>
            </w:r>
          </w:p>
          <w:p w14:paraId="270A9C6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ab/>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5D1F89E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ab/>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1DFAB611" w14:textId="77777777" w:rsidR="009C0430" w:rsidRDefault="009C0430">
            <w:pPr>
              <w:spacing w:before="120" w:after="120"/>
              <w:jc w:val="both"/>
              <w:rPr>
                <w:rFonts w:ascii="Times New Roman" w:eastAsia="Times New Roman" w:hAnsi="Times New Roman" w:cs="Times New Roman"/>
                <w:sz w:val="24"/>
                <w:szCs w:val="24"/>
                <w:lang w:eastAsia="bg-BG"/>
              </w:rPr>
            </w:pPr>
          </w:p>
          <w:p w14:paraId="36277EC5"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Освен гореизброените изисквания, кандидатът/партньорът/</w:t>
            </w:r>
            <w:proofErr w:type="spellStart"/>
            <w:r>
              <w:rPr>
                <w:rFonts w:ascii="Times New Roman" w:eastAsia="Times New Roman" w:hAnsi="Times New Roman" w:cs="Times New Roman"/>
                <w:b/>
                <w:sz w:val="24"/>
                <w:szCs w:val="24"/>
                <w:lang w:eastAsia="bg-BG"/>
              </w:rPr>
              <w:t>ите</w:t>
            </w:r>
            <w:proofErr w:type="spellEnd"/>
            <w:r>
              <w:rPr>
                <w:rFonts w:ascii="Times New Roman" w:eastAsia="Times New Roman" w:hAnsi="Times New Roman" w:cs="Times New Roman"/>
                <w:b/>
                <w:sz w:val="24"/>
                <w:szCs w:val="24"/>
                <w:lang w:eastAsia="bg-BG"/>
              </w:rPr>
              <w:t>, трябва да отговарят и на следните изисквания:</w:t>
            </w:r>
          </w:p>
          <w:p w14:paraId="2437282E" w14:textId="77777777" w:rsidR="009C0430" w:rsidRDefault="00B27CD4">
            <w:pPr>
              <w:numPr>
                <w:ilvl w:val="0"/>
                <w:numId w:val="5"/>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Кандидатът има седалище и адрес на управление на територията на действие на МИГ „Мъглиж</w:t>
            </w:r>
            <w:r>
              <w:rPr>
                <w:rFonts w:ascii="Times New Roman" w:eastAsia="Times New Roman" w:hAnsi="Times New Roman" w:cs="Times New Roman"/>
                <w:sz w:val="24"/>
                <w:szCs w:val="24"/>
                <w:lang w:val="en-US" w:eastAsia="bg-BG"/>
              </w:rPr>
              <w:t xml:space="preserve">, </w:t>
            </w:r>
            <w:proofErr w:type="spellStart"/>
            <w:r>
              <w:rPr>
                <w:rFonts w:ascii="Times New Roman" w:eastAsia="Times New Roman" w:hAnsi="Times New Roman" w:cs="Times New Roman"/>
                <w:sz w:val="24"/>
                <w:szCs w:val="24"/>
                <w:lang w:val="en-US" w:eastAsia="bg-BG"/>
              </w:rPr>
              <w:t>Казанлък</w:t>
            </w:r>
            <w:proofErr w:type="spellEnd"/>
            <w:r>
              <w:rPr>
                <w:rFonts w:ascii="Times New Roman" w:eastAsia="Times New Roman" w:hAnsi="Times New Roman" w:cs="Times New Roman"/>
                <w:sz w:val="24"/>
                <w:szCs w:val="24"/>
                <w:lang w:val="en-US" w:eastAsia="bg-BG"/>
              </w:rPr>
              <w:t xml:space="preserve">, </w:t>
            </w:r>
            <w:proofErr w:type="spellStart"/>
            <w:r>
              <w:rPr>
                <w:rFonts w:ascii="Times New Roman" w:eastAsia="Times New Roman" w:hAnsi="Times New Roman" w:cs="Times New Roman"/>
                <w:sz w:val="24"/>
                <w:szCs w:val="24"/>
                <w:lang w:val="en-US" w:eastAsia="bg-BG"/>
              </w:rPr>
              <w:t>Гурково</w:t>
            </w:r>
            <w:proofErr w:type="spellEnd"/>
            <w:r>
              <w:rPr>
                <w:rFonts w:ascii="Times New Roman" w:eastAsia="Times New Roman" w:hAnsi="Times New Roman" w:cs="Times New Roman"/>
                <w:sz w:val="24"/>
                <w:szCs w:val="24"/>
                <w:lang w:eastAsia="bg-BG"/>
              </w:rPr>
              <w:t>“ и осъществява дейностите по проекта на територията на действие на МИГ.</w:t>
            </w:r>
          </w:p>
          <w:p w14:paraId="730D33AA" w14:textId="77777777" w:rsidR="009C0430" w:rsidRDefault="00B27CD4">
            <w:pPr>
              <w:numPr>
                <w:ilvl w:val="0"/>
                <w:numId w:val="5"/>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Партньорите са организации със самостоятелна правосубектност, регистрирани и имащи право да осъществяват дейност на територията на Република България в съответствие с действащото българско законодателство;</w:t>
            </w:r>
          </w:p>
          <w:p w14:paraId="5C84017C" w14:textId="77777777" w:rsidR="009C0430" w:rsidRDefault="00B27CD4">
            <w:pPr>
              <w:numPr>
                <w:ilvl w:val="0"/>
                <w:numId w:val="5"/>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Кандидатът и партньорът/</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отговарят на изискванията за предоставяне на минимални помощи, в съответствие с Регламент (ЕС) № 1407/2013; (ако е приложимо) </w:t>
            </w:r>
          </w:p>
          <w:p w14:paraId="4F39CE48"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Всички обстоятелства, свързани с изискванията на Регламент (ЕС) № 1407/2013 се приемат на декларативен принцип. Подробна проверка на декларираните обстоятелства ще се извършва преди сключването на административен договор за предоставяне на безвъзмездна финансова помощ.</w:t>
            </w:r>
          </w:p>
          <w:p w14:paraId="77AB90FF"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случаите, в които кандидат/партньорът/</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е община, разпоредбите на Регламент (ЕС) № 1407/2013 на Комисията от 18 декември 2013 година не са приложими.</w:t>
            </w:r>
          </w:p>
          <w:p w14:paraId="0BE6759C" w14:textId="77777777" w:rsidR="009C0430" w:rsidRDefault="009C0430">
            <w:pPr>
              <w:spacing w:before="120" w:after="120"/>
              <w:jc w:val="both"/>
              <w:rPr>
                <w:rFonts w:ascii="Times New Roman" w:eastAsia="Times New Roman" w:hAnsi="Times New Roman" w:cs="Times New Roman"/>
                <w:sz w:val="24"/>
                <w:szCs w:val="24"/>
                <w:lang w:eastAsia="bg-BG"/>
              </w:rPr>
            </w:pPr>
          </w:p>
          <w:p w14:paraId="233A9599" w14:textId="77777777" w:rsidR="009C0430" w:rsidRDefault="00B27CD4">
            <w:pPr>
              <w:numPr>
                <w:ilvl w:val="0"/>
                <w:numId w:val="5"/>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Кандидатът и партньорът/</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разполагат с финансов капацитет (съгласно приложен Счетоводен баланс за </w:t>
            </w:r>
            <w:r>
              <w:rPr>
                <w:rFonts w:ascii="Times New Roman" w:eastAsia="Times New Roman" w:hAnsi="Times New Roman" w:cs="Times New Roman"/>
                <w:b/>
                <w:sz w:val="24"/>
                <w:szCs w:val="24"/>
                <w:lang w:eastAsia="bg-BG"/>
              </w:rPr>
              <w:t>текущата</w:t>
            </w:r>
            <w:r>
              <w:rPr>
                <w:rFonts w:ascii="Times New Roman" w:eastAsia="Times New Roman" w:hAnsi="Times New Roman" w:cs="Times New Roman"/>
                <w:sz w:val="24"/>
                <w:szCs w:val="24"/>
                <w:vertAlign w:val="superscript"/>
                <w:lang w:eastAsia="bg-BG"/>
              </w:rPr>
              <w:footnoteReference w:id="5"/>
            </w:r>
            <w:r>
              <w:rPr>
                <w:rFonts w:ascii="Times New Roman" w:eastAsia="Times New Roman" w:hAnsi="Times New Roman" w:cs="Times New Roman"/>
                <w:sz w:val="24"/>
                <w:szCs w:val="24"/>
                <w:lang w:eastAsia="bg-BG"/>
              </w:rPr>
              <w:t>финансова година), съобразно Приложение: Методика за оценка на финансовия капацитет на кандидатите по Оперативна програма „Развитие на човешките ресурси“ 2014 – 2020 г. (В случай че проектното предложение се подава през м. януари се изисква СБ за предходната финансова година).</w:t>
            </w:r>
          </w:p>
          <w:p w14:paraId="1989E3B4" w14:textId="77777777" w:rsidR="009C0430" w:rsidRDefault="009C0430">
            <w:pPr>
              <w:spacing w:before="120" w:after="120"/>
              <w:jc w:val="both"/>
              <w:rPr>
                <w:rFonts w:ascii="Times New Roman" w:eastAsia="Times New Roman" w:hAnsi="Times New Roman" w:cs="Times New Roman"/>
                <w:sz w:val="24"/>
                <w:szCs w:val="24"/>
                <w:lang w:eastAsia="bg-BG"/>
              </w:rPr>
            </w:pPr>
          </w:p>
          <w:p w14:paraId="59F1310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Когато кандидатът/партньорът е новорегистрирана/новосъздадена организация, горепосочените изисквания се отнасят и за него и се доказват със същите документи за периода от регистрацията на кандидата/партньора през текущата година до последната дата на месеца, предхождащ месеца на кандидатстване.</w:t>
            </w:r>
          </w:p>
          <w:p w14:paraId="14F3B690" w14:textId="77777777" w:rsidR="009C0430" w:rsidRDefault="009C0430">
            <w:pPr>
              <w:spacing w:before="120" w:after="120"/>
              <w:jc w:val="both"/>
              <w:rPr>
                <w:rFonts w:ascii="Times New Roman" w:eastAsia="Times New Roman" w:hAnsi="Times New Roman" w:cs="Times New Roman"/>
                <w:sz w:val="24"/>
                <w:szCs w:val="24"/>
                <w:lang w:eastAsia="bg-BG"/>
              </w:rPr>
            </w:pPr>
          </w:p>
          <w:p w14:paraId="64AF68EF"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Когато кандидат/партньор е община - това обстоятелство се проверява служебно от оценителната комисия в Закона за държавния бюджет. Счита се, че организацията разполага с необходимия финансов капацитет, ако утвърдените разходи по бюджета на общината за текущата година са по-високи от размера на исканата БФП (за община-кандидат)/от размера на средствата, които ще разходва партньорът (за община-партньор).</w:t>
            </w:r>
          </w:p>
          <w:p w14:paraId="385982A0"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Важно!</w:t>
            </w:r>
          </w:p>
          <w:p w14:paraId="5CF4F9E2"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На условието за финансов капацитет следва да отговаря всяка от организациите – кандидат и партньор/и по отделно.</w:t>
            </w:r>
          </w:p>
          <w:p w14:paraId="3D233110"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w:t>
            </w:r>
          </w:p>
          <w:p w14:paraId="0A1E041D"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 условието за финансов капацитет следва да отговаря всяка от организациите – кандидат и партньор/и по отделно.</w:t>
            </w:r>
          </w:p>
          <w:p w14:paraId="3C908315"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да удостоверят, икономическата си дейност, всички кандидати и партньори по процедурата следва да посочат във Формуляра за кандидатстване в раздел 2 „Данни за кандидата“/ раздел 3 „Данни за партньори“ (ако е приложимо) съответните кодове в полета: „Код на организацията по КИД 2008“ и „Код на проекта по КИД 2008“, както и да декларират това обстоятелство в Приложение III - Декларация за минимални и държавни помощи – кодове по КИД за основна и допълнителна икономическа дейност.</w:t>
            </w:r>
          </w:p>
          <w:p w14:paraId="0F019F7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Организации, които не са извършвали дейност през предходната финансова година следва да отбележат това обстоятелство във Формуляра за кандидатстване в раздел 2 „Данни за кандидата“, полета: „Код на организацията по КИД 2008“ и „Код на проекта по КИД 2008“, както и в Приложение III - Декларация за минимални помощи.</w:t>
            </w:r>
          </w:p>
          <w:p w14:paraId="4C4F3BBF"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определяне на допустимостта съгласно посочения критерий се използва Класификация на икономическите дейности (КИД-2008 – Приложение към документите за информация към Условията за кандидатстване).</w:t>
            </w:r>
          </w:p>
          <w:p w14:paraId="16B3EBFA" w14:textId="77777777" w:rsidR="009C0430" w:rsidRDefault="009C0430">
            <w:pPr>
              <w:spacing w:before="120" w:after="120"/>
              <w:jc w:val="both"/>
              <w:rPr>
                <w:rFonts w:ascii="Times New Roman" w:eastAsia="Times New Roman" w:hAnsi="Times New Roman" w:cs="Times New Roman"/>
                <w:sz w:val="24"/>
                <w:szCs w:val="24"/>
                <w:lang w:eastAsia="bg-BG"/>
              </w:rPr>
            </w:pPr>
          </w:p>
          <w:p w14:paraId="0F708447"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lastRenderedPageBreak/>
              <w:t>Важно!</w:t>
            </w:r>
          </w:p>
          <w:p w14:paraId="6A8F62F2" w14:textId="77777777" w:rsidR="009C0430" w:rsidRDefault="00B27CD4">
            <w:pPr>
              <w:pStyle w:val="a0"/>
              <w:spacing w:before="120" w:after="120"/>
              <w:ind w:left="0"/>
              <w:contextualSpacing w:val="0"/>
              <w:jc w:val="both"/>
              <w:rPr>
                <w:rFonts w:ascii="Times New Roman" w:eastAsia="Times New Roman" w:hAnsi="Times New Roman" w:cs="Times New Roman"/>
                <w:b/>
                <w:i/>
                <w:sz w:val="24"/>
                <w:szCs w:val="24"/>
                <w:lang w:eastAsia="bg-BG"/>
              </w:rPr>
            </w:pPr>
            <w:r>
              <w:rPr>
                <w:rFonts w:ascii="Times New Roman" w:eastAsia="Times New Roman" w:hAnsi="Times New Roman" w:cs="Times New Roman"/>
                <w:b/>
                <w:sz w:val="24"/>
                <w:szCs w:val="24"/>
                <w:lang w:eastAsia="bg-BG"/>
              </w:rPr>
              <w:t>В т. 22от Условията за кандидатстване са посочени документите, които трябва да се приложат, за да се удостовери допустимостта на кандидата.</w:t>
            </w:r>
          </w:p>
        </w:tc>
      </w:tr>
    </w:tbl>
    <w:p w14:paraId="6B4E4C7F" w14:textId="77777777" w:rsidR="009C0430" w:rsidRDefault="009C0430">
      <w:pPr>
        <w:pStyle w:val="1"/>
      </w:pPr>
      <w:bookmarkStart w:id="32" w:name="_Toc488319648"/>
      <w:bookmarkStart w:id="33" w:name="_Toc445385579"/>
    </w:p>
    <w:p w14:paraId="35D99C06" w14:textId="77777777" w:rsidR="009C0430" w:rsidRDefault="009C0430">
      <w:pPr>
        <w:pStyle w:val="1"/>
      </w:pPr>
    </w:p>
    <w:p w14:paraId="78435DA1" w14:textId="77777777" w:rsidR="009C0430" w:rsidRDefault="00B27CD4">
      <w:pPr>
        <w:pStyle w:val="1"/>
      </w:pPr>
      <w:r>
        <w:t>12. Допустими партньори</w:t>
      </w:r>
      <w:bookmarkEnd w:id="32"/>
      <w:bookmarkEnd w:id="33"/>
    </w:p>
    <w:p w14:paraId="4B6BE652" w14:textId="77777777" w:rsidR="009C0430" w:rsidRDefault="00B27CD4">
      <w:pPr>
        <w:pStyle w:val="2"/>
      </w:pPr>
      <w:bookmarkStart w:id="34" w:name="_Toc445385580"/>
      <w:bookmarkStart w:id="35" w:name="_Toc488319649"/>
      <w:r>
        <w:t>12.1. Общи изисквания за партньорствата:</w:t>
      </w:r>
      <w:bookmarkEnd w:id="34"/>
      <w:bookmarkEnd w:id="35"/>
    </w:p>
    <w:tbl>
      <w:tblPr>
        <w:tblStyle w:val="afe"/>
        <w:tblW w:w="0" w:type="auto"/>
        <w:tblLook w:val="04A0" w:firstRow="1" w:lastRow="0" w:firstColumn="1" w:lastColumn="0" w:noHBand="0" w:noVBand="1"/>
      </w:tblPr>
      <w:tblGrid>
        <w:gridCol w:w="9496"/>
      </w:tblGrid>
      <w:tr w:rsidR="009C0430" w14:paraId="4CD012B2" w14:textId="77777777">
        <w:tc>
          <w:tcPr>
            <w:tcW w:w="9496" w:type="dxa"/>
          </w:tcPr>
          <w:p w14:paraId="056FA2F2" w14:textId="77777777" w:rsidR="009C0430" w:rsidRDefault="00B27CD4">
            <w:pPr>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По настоящата покана за подаване на проектни предложения</w:t>
            </w:r>
            <w:r w:rsidR="00DE7D1A">
              <w:rPr>
                <w:rFonts w:ascii="Times New Roman" w:eastAsia="Times New Roman" w:hAnsi="Times New Roman" w:cs="Times New Roman"/>
                <w:b/>
                <w:sz w:val="24"/>
                <w:szCs w:val="24"/>
                <w:lang w:eastAsia="bg-BG"/>
              </w:rPr>
              <w:t xml:space="preserve"> е допустимо </w:t>
            </w:r>
            <w:r>
              <w:rPr>
                <w:rFonts w:ascii="Times New Roman" w:eastAsia="Times New Roman" w:hAnsi="Times New Roman" w:cs="Times New Roman"/>
                <w:b/>
                <w:sz w:val="24"/>
                <w:szCs w:val="24"/>
                <w:lang w:eastAsia="bg-BG"/>
              </w:rPr>
              <w:t>партньорство</w:t>
            </w:r>
            <w:r w:rsidR="00DE7D1A">
              <w:rPr>
                <w:rFonts w:ascii="Times New Roman" w:eastAsia="Times New Roman" w:hAnsi="Times New Roman" w:cs="Times New Roman"/>
                <w:b/>
                <w:sz w:val="24"/>
                <w:szCs w:val="24"/>
                <w:lang w:eastAsia="bg-BG"/>
              </w:rPr>
              <w:t xml:space="preserve">то, както и </w:t>
            </w:r>
            <w:r>
              <w:rPr>
                <w:rFonts w:ascii="Times New Roman" w:eastAsia="Times New Roman" w:hAnsi="Times New Roman" w:cs="Times New Roman"/>
                <w:b/>
                <w:sz w:val="24"/>
                <w:szCs w:val="24"/>
                <w:lang w:eastAsia="bg-BG"/>
              </w:rPr>
              <w:t>наличието на повече от един партньор.</w:t>
            </w:r>
          </w:p>
          <w:p w14:paraId="26CAD883" w14:textId="77777777" w:rsidR="009C0430" w:rsidRDefault="00B27CD4">
            <w:pPr>
              <w:jc w:val="both"/>
              <w:rPr>
                <w:rFonts w:ascii="Times New Roman" w:eastAsia="Times New Roman" w:hAnsi="Times New Roman" w:cs="Times New Roman"/>
                <w:b/>
                <w:color w:val="FF0000"/>
                <w:sz w:val="24"/>
                <w:szCs w:val="24"/>
                <w:lang w:eastAsia="bg-BG"/>
              </w:rPr>
            </w:pPr>
            <w:r>
              <w:rPr>
                <w:rFonts w:ascii="Times New Roman" w:eastAsia="Times New Roman" w:hAnsi="Times New Roman" w:cs="Times New Roman"/>
                <w:b/>
                <w:color w:val="FF0000"/>
                <w:sz w:val="24"/>
                <w:szCs w:val="24"/>
                <w:lang w:eastAsia="bg-BG"/>
              </w:rPr>
              <w:t xml:space="preserve">„Партньори на кандидатите за безвъзмездна финансова помощ“ 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w:t>
            </w:r>
            <w:proofErr w:type="spellStart"/>
            <w:r>
              <w:rPr>
                <w:rFonts w:ascii="Times New Roman" w:eastAsia="Times New Roman" w:hAnsi="Times New Roman" w:cs="Times New Roman"/>
                <w:b/>
                <w:color w:val="FF0000"/>
                <w:sz w:val="24"/>
                <w:szCs w:val="24"/>
                <w:lang w:eastAsia="bg-BG"/>
              </w:rPr>
              <w:t>проектa</w:t>
            </w:r>
            <w:proofErr w:type="spellEnd"/>
            <w:r>
              <w:rPr>
                <w:rFonts w:ascii="Times New Roman" w:eastAsia="Times New Roman" w:hAnsi="Times New Roman" w:cs="Times New Roman"/>
                <w:b/>
                <w:color w:val="FF0000"/>
                <w:sz w:val="24"/>
                <w:szCs w:val="24"/>
                <w:lang w:eastAsia="bg-BG"/>
              </w:rPr>
              <w:t xml:space="preserve"> и разходват средства от безвъзмездната финансова помощ по проекта.</w:t>
            </w:r>
          </w:p>
          <w:p w14:paraId="4EE0CEB7" w14:textId="77777777" w:rsidR="009C0430" w:rsidRDefault="009C0430">
            <w:pPr>
              <w:rPr>
                <w:rFonts w:ascii="Times New Roman" w:eastAsia="Times New Roman" w:hAnsi="Times New Roman" w:cs="Times New Roman"/>
                <w:b/>
                <w:sz w:val="20"/>
                <w:szCs w:val="20"/>
                <w:lang w:eastAsia="bg-BG"/>
              </w:rPr>
            </w:pPr>
          </w:p>
          <w:p w14:paraId="21671401" w14:textId="77777777" w:rsidR="009C0430" w:rsidRDefault="00B27CD4">
            <w:pP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w:t>
            </w:r>
          </w:p>
          <w:p w14:paraId="0A7735D2" w14:textId="77777777" w:rsidR="009C0430" w:rsidRDefault="00B27CD4">
            <w:pPr>
              <w:jc w:val="both"/>
              <w:rPr>
                <w:rFonts w:ascii="Times New Roman" w:eastAsia="Times New Roman" w:hAnsi="Times New Roman" w:cs="Times New Roman"/>
                <w:iCs/>
                <w:color w:val="000000"/>
                <w:sz w:val="24"/>
                <w:szCs w:val="24"/>
                <w:lang w:eastAsia="bg-BG"/>
              </w:rPr>
            </w:pPr>
            <w:r>
              <w:rPr>
                <w:rFonts w:ascii="Times New Roman" w:eastAsia="Times New Roman" w:hAnsi="Times New Roman" w:cs="Times New Roman"/>
                <w:sz w:val="24"/>
                <w:szCs w:val="24"/>
                <w:lang w:eastAsia="bg-BG"/>
              </w:rPr>
              <w:t xml:space="preserve">Моля обърнете внимание, че партньорството по настоящата процедура е </w:t>
            </w:r>
            <w:r w:rsidR="00DE7D1A">
              <w:rPr>
                <w:rFonts w:ascii="Times New Roman" w:eastAsia="Times New Roman" w:hAnsi="Times New Roman" w:cs="Times New Roman"/>
                <w:sz w:val="24"/>
                <w:szCs w:val="24"/>
                <w:lang w:eastAsia="bg-BG"/>
              </w:rPr>
              <w:t xml:space="preserve">допустимо, но не е </w:t>
            </w:r>
            <w:r>
              <w:rPr>
                <w:rFonts w:ascii="Times New Roman" w:eastAsia="Times New Roman" w:hAnsi="Times New Roman" w:cs="Times New Roman"/>
                <w:sz w:val="24"/>
                <w:szCs w:val="24"/>
                <w:lang w:eastAsia="bg-BG"/>
              </w:rPr>
              <w:t>задължително.</w:t>
            </w:r>
            <w:r w:rsidR="00DE7D1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iCs/>
                <w:color w:val="000000"/>
                <w:sz w:val="24"/>
                <w:szCs w:val="24"/>
                <w:lang w:eastAsia="bg-BG"/>
              </w:rPr>
              <w:t>При оценката на проектното предложение, капацитетът на партньора/</w:t>
            </w:r>
            <w:proofErr w:type="spellStart"/>
            <w:r>
              <w:rPr>
                <w:rFonts w:ascii="Times New Roman" w:eastAsia="Times New Roman" w:hAnsi="Times New Roman" w:cs="Times New Roman"/>
                <w:iCs/>
                <w:color w:val="000000"/>
                <w:sz w:val="24"/>
                <w:szCs w:val="24"/>
                <w:lang w:eastAsia="bg-BG"/>
              </w:rPr>
              <w:t>ите</w:t>
            </w:r>
            <w:proofErr w:type="spellEnd"/>
            <w:r>
              <w:rPr>
                <w:rFonts w:ascii="Times New Roman" w:eastAsia="Times New Roman" w:hAnsi="Times New Roman" w:cs="Times New Roman"/>
                <w:iCs/>
                <w:color w:val="000000"/>
                <w:sz w:val="24"/>
                <w:szCs w:val="24"/>
                <w:lang w:eastAsia="bg-BG"/>
              </w:rPr>
              <w:t xml:space="preserve"> ще бъде оценяван отделно от този на кандидата и крайната оценка е средноаритметична от оценките на кандидата и партньора/</w:t>
            </w:r>
            <w:proofErr w:type="spellStart"/>
            <w:r>
              <w:rPr>
                <w:rFonts w:ascii="Times New Roman" w:eastAsia="Times New Roman" w:hAnsi="Times New Roman" w:cs="Times New Roman"/>
                <w:iCs/>
                <w:color w:val="000000"/>
                <w:sz w:val="24"/>
                <w:szCs w:val="24"/>
                <w:lang w:eastAsia="bg-BG"/>
              </w:rPr>
              <w:t>ите</w:t>
            </w:r>
            <w:proofErr w:type="spellEnd"/>
            <w:r>
              <w:rPr>
                <w:rFonts w:ascii="Times New Roman" w:eastAsia="Times New Roman" w:hAnsi="Times New Roman" w:cs="Times New Roman"/>
                <w:iCs/>
                <w:color w:val="000000"/>
                <w:sz w:val="24"/>
                <w:szCs w:val="24"/>
                <w:lang w:eastAsia="bg-BG"/>
              </w:rPr>
              <w:t>.</w:t>
            </w:r>
          </w:p>
          <w:p w14:paraId="1A586965"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Партньорствата, създадени за целите на тази схема за отпускане на безвъзмездна финансова помощ, не е необходимо да бъдат регистрирани в съда. Кандидатът и партньорите трябва да подпишат </w:t>
            </w:r>
            <w:r>
              <w:rPr>
                <w:rFonts w:ascii="Times New Roman" w:eastAsia="Times New Roman" w:hAnsi="Times New Roman" w:cs="Times New Roman"/>
                <w:b/>
                <w:sz w:val="24"/>
                <w:szCs w:val="24"/>
                <w:lang w:eastAsia="bg-BG"/>
              </w:rPr>
              <w:t xml:space="preserve">Споразумение за партньорство (Приложение </w:t>
            </w:r>
            <w:proofErr w:type="spellStart"/>
            <w:r>
              <w:rPr>
                <w:rFonts w:ascii="Times New Roman" w:eastAsia="Times New Roman" w:hAnsi="Times New Roman" w:cs="Times New Roman"/>
                <w:b/>
                <w:sz w:val="24"/>
                <w:szCs w:val="24"/>
                <w:lang w:eastAsia="bg-BG"/>
              </w:rPr>
              <w:t>къмУсловията</w:t>
            </w:r>
            <w:proofErr w:type="spellEnd"/>
            <w:r>
              <w:rPr>
                <w:rFonts w:ascii="Times New Roman" w:eastAsia="Times New Roman" w:hAnsi="Times New Roman" w:cs="Times New Roman"/>
                <w:b/>
                <w:sz w:val="24"/>
                <w:szCs w:val="24"/>
                <w:lang w:eastAsia="bg-BG"/>
              </w:rPr>
              <w:t xml:space="preserve"> за кандидатстване</w:t>
            </w:r>
            <w:r>
              <w:rPr>
                <w:rFonts w:ascii="Times New Roman" w:eastAsia="Times New Roman" w:hAnsi="Times New Roman" w:cs="Times New Roman"/>
                <w:sz w:val="24"/>
                <w:szCs w:val="24"/>
                <w:lang w:eastAsia="bg-BG"/>
              </w:rPr>
              <w:t xml:space="preserve">), към момента на сключване на договор. </w:t>
            </w:r>
          </w:p>
        </w:tc>
      </w:tr>
    </w:tbl>
    <w:p w14:paraId="656A09AF" w14:textId="77777777" w:rsidR="009C0430" w:rsidRDefault="00B27CD4">
      <w:pPr>
        <w:pStyle w:val="2"/>
      </w:pPr>
      <w:bookmarkStart w:id="36" w:name="_Toc488319650"/>
      <w:bookmarkStart w:id="37" w:name="_Toc445385581"/>
      <w:r>
        <w:t>12.2. Специфични изисквания за допустимост на партньора/</w:t>
      </w:r>
      <w:proofErr w:type="spellStart"/>
      <w:r>
        <w:t>ите</w:t>
      </w:r>
      <w:proofErr w:type="spellEnd"/>
      <w:r>
        <w:t>:</w:t>
      </w:r>
      <w:bookmarkEnd w:id="36"/>
      <w:bookmarkEnd w:id="37"/>
    </w:p>
    <w:tbl>
      <w:tblPr>
        <w:tblStyle w:val="afe"/>
        <w:tblW w:w="0" w:type="auto"/>
        <w:tblLook w:val="04A0" w:firstRow="1" w:lastRow="0" w:firstColumn="1" w:lastColumn="0" w:noHBand="0" w:noVBand="1"/>
      </w:tblPr>
      <w:tblGrid>
        <w:gridCol w:w="9496"/>
      </w:tblGrid>
      <w:tr w:rsidR="009C0430" w14:paraId="1A853F2F" w14:textId="77777777">
        <w:trPr>
          <w:trHeight w:val="930"/>
        </w:trPr>
        <w:tc>
          <w:tcPr>
            <w:tcW w:w="9496" w:type="dxa"/>
          </w:tcPr>
          <w:p w14:paraId="3002624E" w14:textId="77777777" w:rsidR="009C0430" w:rsidRDefault="00B27CD4">
            <w:pPr>
              <w:spacing w:before="120" w:after="1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bg-BG"/>
              </w:rPr>
              <w:t>В допълнение към общите изисквания на т. 11.1 и т. 12.1, партньорът/</w:t>
            </w:r>
            <w:proofErr w:type="spellStart"/>
            <w:r>
              <w:rPr>
                <w:rFonts w:ascii="Times New Roman" w:eastAsia="Times New Roman" w:hAnsi="Times New Roman" w:cs="Times New Roman"/>
                <w:b/>
                <w:sz w:val="24"/>
                <w:szCs w:val="24"/>
                <w:lang w:eastAsia="bg-BG"/>
              </w:rPr>
              <w:t>ите</w:t>
            </w:r>
            <w:proofErr w:type="spellEnd"/>
            <w:r>
              <w:rPr>
                <w:rFonts w:ascii="Times New Roman" w:eastAsia="Times New Roman" w:hAnsi="Times New Roman" w:cs="Times New Roman"/>
                <w:b/>
                <w:sz w:val="24"/>
                <w:szCs w:val="24"/>
                <w:lang w:eastAsia="bg-BG"/>
              </w:rPr>
              <w:t xml:space="preserve"> трябва да отговаря/т и </w:t>
            </w:r>
            <w:proofErr w:type="spellStart"/>
            <w:r>
              <w:rPr>
                <w:rFonts w:ascii="Times New Roman" w:eastAsia="Times New Roman" w:hAnsi="Times New Roman" w:cs="Times New Roman"/>
                <w:b/>
                <w:sz w:val="24"/>
                <w:szCs w:val="24"/>
                <w:lang w:eastAsia="bg-BG"/>
              </w:rPr>
              <w:t>наследните</w:t>
            </w:r>
            <w:proofErr w:type="spellEnd"/>
            <w:r>
              <w:rPr>
                <w:rFonts w:ascii="Times New Roman" w:eastAsia="Times New Roman" w:hAnsi="Times New Roman" w:cs="Times New Roman"/>
                <w:b/>
                <w:sz w:val="24"/>
                <w:szCs w:val="24"/>
                <w:lang w:eastAsia="bg-BG"/>
              </w:rPr>
              <w:t xml:space="preserve"> условия:</w:t>
            </w:r>
          </w:p>
          <w:p w14:paraId="66821B1B"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Партньор/и на кандидата могат да бъдат някои от изброените организации:</w:t>
            </w:r>
          </w:p>
          <w:p w14:paraId="2856D3AB" w14:textId="77777777" w:rsidR="009C0430" w:rsidRDefault="00B27CD4">
            <w:pP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Доставчици на социални услуги;</w:t>
            </w:r>
          </w:p>
          <w:p w14:paraId="26032070" w14:textId="77777777" w:rsidR="009C0430" w:rsidRDefault="00B27CD4">
            <w:pPr>
              <w:spacing w:before="120" w:after="1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Работодатели;</w:t>
            </w:r>
          </w:p>
          <w:p w14:paraId="61002FF1" w14:textId="77777777" w:rsidR="009C0430" w:rsidRDefault="00B27CD4">
            <w:pPr>
              <w:spacing w:before="120" w:after="1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Общините Мъглиж, Гурков</w:t>
            </w:r>
            <w:r w:rsidR="00DE7D1A">
              <w:rPr>
                <w:rFonts w:ascii="Times New Roman" w:eastAsia="Times New Roman" w:hAnsi="Times New Roman" w:cs="Times New Roman"/>
                <w:sz w:val="24"/>
                <w:szCs w:val="24"/>
                <w:lang w:eastAsia="bg-BG"/>
              </w:rPr>
              <w:t>о</w:t>
            </w:r>
            <w:r>
              <w:rPr>
                <w:rFonts w:ascii="Times New Roman" w:eastAsia="Times New Roman" w:hAnsi="Times New Roman" w:cs="Times New Roman"/>
                <w:sz w:val="24"/>
                <w:szCs w:val="24"/>
                <w:lang w:eastAsia="bg-BG"/>
              </w:rPr>
              <w:t>;</w:t>
            </w:r>
          </w:p>
          <w:p w14:paraId="5F3C26C9"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 Читалища;</w:t>
            </w:r>
          </w:p>
          <w:p w14:paraId="21A8DEF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 Неправителствени организации;</w:t>
            </w:r>
          </w:p>
          <w:p w14:paraId="667F4DF3"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 Доставчици на здравни услуги</w:t>
            </w:r>
            <w:r>
              <w:rPr>
                <w:rStyle w:val="afb"/>
                <w:rFonts w:ascii="Times New Roman" w:eastAsia="Times New Roman" w:hAnsi="Times New Roman" w:cs="Times New Roman"/>
                <w:sz w:val="24"/>
                <w:szCs w:val="24"/>
                <w:lang w:eastAsia="bg-BG"/>
              </w:rPr>
              <w:footnoteReference w:id="6"/>
            </w:r>
          </w:p>
          <w:p w14:paraId="3CDE4C67" w14:textId="77777777" w:rsidR="009C0430" w:rsidRDefault="009C0430">
            <w:pPr>
              <w:spacing w:before="120" w:after="120"/>
              <w:jc w:val="both"/>
              <w:rPr>
                <w:rFonts w:ascii="Times New Roman" w:eastAsia="Times New Roman" w:hAnsi="Times New Roman" w:cs="Times New Roman"/>
                <w:b/>
                <w:sz w:val="20"/>
                <w:szCs w:val="20"/>
                <w:lang w:eastAsia="bg-BG"/>
              </w:rPr>
            </w:pPr>
          </w:p>
          <w:p w14:paraId="3725DF30" w14:textId="77777777" w:rsidR="009C0430" w:rsidRDefault="00B27CD4">
            <w:pPr>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Партньорът по процедурата следва да извършва дейностите по проекта, за които е отговорен самостоятелно, а не изпълнява ролята на посредник.</w:t>
            </w:r>
          </w:p>
          <w:p w14:paraId="42F01120" w14:textId="77777777" w:rsidR="009C0430" w:rsidRDefault="00B27CD4">
            <w:pPr>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Дефинициите за изброените организации – партньори са идентични с тези на дефинициите на кандидатите.</w:t>
            </w:r>
          </w:p>
          <w:p w14:paraId="0ECDC68E"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Партньорът трябва да е лице със самостоятелна правосубектност, регистрирани и имащо право да осъществява дейност на територията на Република България.2. Партньорът трябва да е вписан в регистъра на Агенцията за социално подпомагане (АСП) като доставчик на социални услуги, когато ще предоставя или ще участва в предоставянето на социална/и услуга/и. Това обстоятелство ще се проверява служебно от оценителната комисия.</w:t>
            </w:r>
          </w:p>
          <w:p w14:paraId="0746E578"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Партньорът трябва да притежава лиценз от ДАЗД, когато ще предоставя социална услуга за деца по проекта. Това обстоятелство ще се проверява служебно от оценителната комисия. </w:t>
            </w:r>
          </w:p>
          <w:p w14:paraId="45DDE2B1"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3.Когато партньорът е община, тя трябва да представи Решение на Общинския съвет за одобряване на партньорство за кандидатстването по </w:t>
            </w:r>
            <w:proofErr w:type="spellStart"/>
            <w:r>
              <w:rPr>
                <w:rFonts w:ascii="Times New Roman" w:eastAsia="Times New Roman" w:hAnsi="Times New Roman" w:cs="Times New Roman"/>
                <w:sz w:val="24"/>
                <w:szCs w:val="24"/>
                <w:lang w:eastAsia="bg-BG"/>
              </w:rPr>
              <w:t>проекта.В</w:t>
            </w:r>
            <w:proofErr w:type="spellEnd"/>
            <w:r>
              <w:rPr>
                <w:rFonts w:ascii="Times New Roman" w:eastAsia="Times New Roman" w:hAnsi="Times New Roman" w:cs="Times New Roman"/>
                <w:sz w:val="24"/>
                <w:szCs w:val="24"/>
                <w:lang w:eastAsia="bg-BG"/>
              </w:rPr>
              <w:t xml:space="preserve"> т. 22 от Условията за кандидатстване са посочени документите, които трябва да се приложат, за да се удостовери допустимостта на партньорите.</w:t>
            </w:r>
          </w:p>
          <w:p w14:paraId="6C4E7FAF" w14:textId="77777777" w:rsidR="009C0430" w:rsidRDefault="00B27CD4">
            <w:pPr>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По настоящата процедура не е допустимо проектите да се изпълняват с повече от двама партньори. Това е изискване, което ще се проверява на етап административно съответствие и допустимост и неспазването му ще води до отхвърляне на проектното предложение.</w:t>
            </w:r>
          </w:p>
        </w:tc>
      </w:tr>
    </w:tbl>
    <w:p w14:paraId="04D5A30D" w14:textId="77777777" w:rsidR="009C0430" w:rsidRDefault="009C0430">
      <w:pPr>
        <w:pStyle w:val="1"/>
      </w:pPr>
      <w:bookmarkStart w:id="38" w:name="_Toc488319651"/>
      <w:bookmarkStart w:id="39" w:name="_Toc445385583"/>
    </w:p>
    <w:p w14:paraId="12DCED50" w14:textId="77777777" w:rsidR="009C0430" w:rsidRDefault="00B27CD4">
      <w:pPr>
        <w:pStyle w:val="1"/>
      </w:pPr>
      <w:r>
        <w:t>13. Дейности, допустими за финансиране:</w:t>
      </w:r>
      <w:bookmarkEnd w:id="38"/>
      <w:bookmarkEnd w:id="39"/>
    </w:p>
    <w:p w14:paraId="4088C365" w14:textId="77777777" w:rsidR="009C0430" w:rsidRDefault="00B27CD4">
      <w:pPr>
        <w:pStyle w:val="2"/>
      </w:pPr>
      <w:bookmarkStart w:id="40" w:name="_Toc488319652"/>
      <w:bookmarkStart w:id="41" w:name="_Toc445385584"/>
      <w:r>
        <w:t>13.1. Общи изисквания за дейностите:</w:t>
      </w:r>
      <w:bookmarkEnd w:id="40"/>
      <w:bookmarkEnd w:id="41"/>
    </w:p>
    <w:tbl>
      <w:tblPr>
        <w:tblStyle w:val="afe"/>
        <w:tblW w:w="0" w:type="auto"/>
        <w:tblLook w:val="04A0" w:firstRow="1" w:lastRow="0" w:firstColumn="1" w:lastColumn="0" w:noHBand="0" w:noVBand="1"/>
      </w:tblPr>
      <w:tblGrid>
        <w:gridCol w:w="9496"/>
      </w:tblGrid>
      <w:tr w:rsidR="009C0430" w14:paraId="1D9B51ED" w14:textId="77777777">
        <w:tc>
          <w:tcPr>
            <w:tcW w:w="9496" w:type="dxa"/>
            <w:shd w:val="clear" w:color="auto" w:fill="auto"/>
          </w:tcPr>
          <w:p w14:paraId="59BCCF68" w14:textId="77777777" w:rsidR="009C0430" w:rsidRDefault="00B27CD4">
            <w:pPr>
              <w:pStyle w:val="Text1"/>
              <w:spacing w:before="120" w:after="120"/>
              <w:ind w:left="0"/>
              <w:outlineLvl w:val="0"/>
              <w:rPr>
                <w:szCs w:val="24"/>
                <w:lang w:val="bg-BG" w:eastAsia="bg-BG"/>
              </w:rPr>
            </w:pPr>
            <w:bookmarkStart w:id="42" w:name="_Toc445385585"/>
            <w:bookmarkStart w:id="43" w:name="_Toc445385331"/>
            <w:r>
              <w:rPr>
                <w:b/>
                <w:szCs w:val="24"/>
                <w:lang w:val="bg-BG" w:eastAsia="bg-BG"/>
              </w:rPr>
              <w:t>В рамките на всеки проект задължително се изпълняват следните дейности:</w:t>
            </w:r>
            <w:bookmarkStart w:id="44" w:name="_Toc445385332"/>
            <w:bookmarkStart w:id="45" w:name="_Toc445385586"/>
            <w:bookmarkEnd w:id="42"/>
            <w:bookmarkEnd w:id="43"/>
          </w:p>
          <w:p w14:paraId="3B6DC131" w14:textId="77777777" w:rsidR="009C0430" w:rsidRDefault="00B27CD4">
            <w:pPr>
              <w:pStyle w:val="Text1"/>
              <w:spacing w:before="120" w:after="120"/>
              <w:ind w:left="0"/>
              <w:outlineLvl w:val="0"/>
              <w:rPr>
                <w:szCs w:val="24"/>
                <w:lang w:val="bg-BG" w:eastAsia="bg-BG"/>
              </w:rPr>
            </w:pPr>
            <w:bookmarkStart w:id="46" w:name="_Toc445385334"/>
            <w:bookmarkStart w:id="47" w:name="_Toc445385588"/>
            <w:bookmarkEnd w:id="44"/>
            <w:bookmarkEnd w:id="45"/>
            <w:r>
              <w:rPr>
                <w:szCs w:val="24"/>
                <w:lang w:val="bg-BG" w:eastAsia="bg-BG"/>
              </w:rPr>
              <w:tab/>
              <w:t>Всяко проектно предложение следва да съдържа задължително дейността за информация и комуникация. Кандидатите не трябва да описват  в проектните си предложения дейностите за информация и комуникация, както и дейностите за организация и управление на проекта, а с подписването на формуляра за кандидатстване се задължават да ги изпълняват.</w:t>
            </w:r>
          </w:p>
          <w:p w14:paraId="7C994AAA" w14:textId="77777777" w:rsidR="009C0430" w:rsidRDefault="00B27CD4">
            <w:pPr>
              <w:pStyle w:val="Text1"/>
              <w:spacing w:before="120" w:after="120"/>
              <w:ind w:left="0"/>
              <w:outlineLvl w:val="0"/>
              <w:rPr>
                <w:szCs w:val="24"/>
                <w:lang w:val="bg-BG" w:eastAsia="bg-BG"/>
              </w:rPr>
            </w:pPr>
            <w:r>
              <w:rPr>
                <w:szCs w:val="24"/>
                <w:lang w:val="bg-BG" w:eastAsia="bg-BG"/>
              </w:rPr>
              <w:t>Кандидатите са длъжни да изпълняват изискванията за информиране и публичност в рамките на планирания бюджет за организация и управление на проекта.</w:t>
            </w:r>
          </w:p>
          <w:p w14:paraId="1FD2621B" w14:textId="77777777" w:rsidR="009C0430" w:rsidRDefault="00B27CD4">
            <w:pPr>
              <w:pStyle w:val="Default"/>
              <w:jc w:val="both"/>
            </w:pPr>
            <w:bookmarkStart w:id="48" w:name="_Toc459037101"/>
            <w:bookmarkStart w:id="49" w:name="_Toc459035319"/>
            <w:r>
              <w:rPr>
                <w:rFonts w:eastAsia="Calibri"/>
                <w:snapToGrid w:val="0"/>
              </w:rPr>
              <w:t xml:space="preserve">Дейностите за информация и комуникация трябва да отговарят на условията и изискванията, описани в </w:t>
            </w:r>
            <w:hyperlink r:id="rId9" w:history="1">
              <w:r>
                <w:rPr>
                  <w:rStyle w:val="afc"/>
                  <w:rFonts w:eastAsia="Calibri"/>
                  <w:snapToGrid w:val="0"/>
                </w:rPr>
                <w:t>Единния наръчник на бенефициента за прилагане на правилата за информация и комуникация 2014-2020 г.</w:t>
              </w:r>
            </w:hyperlink>
            <w:r>
              <w:rPr>
                <w:rFonts w:eastAsia="Calibri"/>
                <w:snapToGrid w:val="0"/>
              </w:rPr>
              <w:t>, публикуван на интернет страницата на УО</w:t>
            </w:r>
            <w:r>
              <w:t xml:space="preserve"> www.esf.bg, раздел „Информация“,  подраздел „Стратегически документи“. </w:t>
            </w:r>
            <w:bookmarkEnd w:id="46"/>
            <w:bookmarkEnd w:id="47"/>
            <w:bookmarkEnd w:id="48"/>
            <w:bookmarkEnd w:id="49"/>
          </w:p>
          <w:p w14:paraId="650A7382"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Допустимите дейности трябва да са в съответствие с хоризонталните принципи по ОП и да не се допуска дублиране на финансиране на едни и същи дейности от различни </w:t>
            </w:r>
            <w:r>
              <w:rPr>
                <w:rFonts w:ascii="Times New Roman" w:eastAsia="Times New Roman" w:hAnsi="Times New Roman" w:cs="Times New Roman"/>
                <w:sz w:val="24"/>
                <w:szCs w:val="24"/>
                <w:lang w:eastAsia="bg-BG"/>
              </w:rPr>
              <w:lastRenderedPageBreak/>
              <w:t>източници.</w:t>
            </w:r>
          </w:p>
          <w:p w14:paraId="5CFE29ED"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Проектите трябва да осигуряват отговор на идентифицираните в социално-икономическия анализ нужди на конкретни целеви групи. Нуждите на „отделния човек” се поставя в „центъра” при планиране и изпълнение на проектите. Планираната реализация на услугите трябва да поставя в центъра на вниманието потребностите на лицата, които ще ползват услугата, а не на институции или организации, които ще я предоставят и техните досегашни практики. Услугите следва да се разглеждат като дейности, които да могат да се комбинират в съответствие с индивидуалните потребности на лицата.</w:t>
            </w:r>
          </w:p>
        </w:tc>
      </w:tr>
    </w:tbl>
    <w:p w14:paraId="6AA2A8FE" w14:textId="77777777" w:rsidR="009C0430" w:rsidRDefault="00B27CD4">
      <w:pPr>
        <w:pStyle w:val="2"/>
      </w:pPr>
      <w:bookmarkStart w:id="50" w:name="_Toc445385589"/>
      <w:bookmarkStart w:id="51" w:name="_Toc488319653"/>
      <w:r>
        <w:lastRenderedPageBreak/>
        <w:t>13.2. Допустими дейности:</w:t>
      </w:r>
      <w:bookmarkEnd w:id="50"/>
      <w:bookmarkEnd w:id="51"/>
    </w:p>
    <w:tbl>
      <w:tblPr>
        <w:tblStyle w:val="afe"/>
        <w:tblW w:w="0" w:type="auto"/>
        <w:tblLook w:val="04A0" w:firstRow="1" w:lastRow="0" w:firstColumn="1" w:lastColumn="0" w:noHBand="0" w:noVBand="1"/>
      </w:tblPr>
      <w:tblGrid>
        <w:gridCol w:w="9496"/>
      </w:tblGrid>
      <w:tr w:rsidR="009C0430" w14:paraId="7FD13814" w14:textId="77777777">
        <w:tc>
          <w:tcPr>
            <w:tcW w:w="9496" w:type="dxa"/>
          </w:tcPr>
          <w:p w14:paraId="7D3A0571"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По настоящата процедура за предоставяне на безвъзмездна финансова помощ са допустими за финансиране следните дейности:</w:t>
            </w:r>
          </w:p>
          <w:p w14:paraId="35EFB2D8" w14:textId="77777777" w:rsidR="009C0430" w:rsidRDefault="00B27CD4">
            <w:pPr>
              <w:pStyle w:val="a0"/>
              <w:numPr>
                <w:ilvl w:val="0"/>
                <w:numId w:val="6"/>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Направление „Подобряване достъпа до заетост“:</w:t>
            </w:r>
          </w:p>
          <w:p w14:paraId="47ACC66F" w14:textId="77777777" w:rsidR="009C0430" w:rsidRDefault="00B27CD4">
            <w:pPr>
              <w:pStyle w:val="a0"/>
              <w:numPr>
                <w:ilvl w:val="0"/>
                <w:numId w:val="7"/>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активиране на икономически неактивни лица;</w:t>
            </w:r>
          </w:p>
          <w:p w14:paraId="4A45727B" w14:textId="77777777" w:rsidR="009C0430" w:rsidRDefault="00B27CD4">
            <w:pPr>
              <w:pStyle w:val="a0"/>
              <w:numPr>
                <w:ilvl w:val="0"/>
                <w:numId w:val="7"/>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посредничество за намиране на работа;</w:t>
            </w:r>
          </w:p>
          <w:p w14:paraId="6545B093" w14:textId="77777777" w:rsidR="009C0430" w:rsidRDefault="00B27CD4">
            <w:pPr>
              <w:pStyle w:val="a0"/>
              <w:numPr>
                <w:ilvl w:val="0"/>
                <w:numId w:val="7"/>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професионално информиране и консултиране;</w:t>
            </w:r>
          </w:p>
          <w:p w14:paraId="3D93D3B7" w14:textId="77777777" w:rsidR="009C0430" w:rsidRDefault="00B27CD4">
            <w:pPr>
              <w:pStyle w:val="a0"/>
              <w:numPr>
                <w:ilvl w:val="0"/>
                <w:numId w:val="7"/>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психологическо подпомагане;</w:t>
            </w:r>
          </w:p>
          <w:p w14:paraId="6B2DE4ED" w14:textId="77777777" w:rsidR="009C0430" w:rsidRDefault="00B27CD4">
            <w:pPr>
              <w:pStyle w:val="a0"/>
              <w:numPr>
                <w:ilvl w:val="0"/>
                <w:numId w:val="7"/>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мотивационно обучение;</w:t>
            </w:r>
          </w:p>
          <w:p w14:paraId="5AB442F2" w14:textId="77777777" w:rsidR="009C0430" w:rsidRDefault="00B27CD4">
            <w:pPr>
              <w:pStyle w:val="a0"/>
              <w:numPr>
                <w:ilvl w:val="0"/>
                <w:numId w:val="7"/>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предоставяне на обучение – за придобиване на професионална квалификация или ключова компетентност;</w:t>
            </w:r>
          </w:p>
          <w:p w14:paraId="507918A7" w14:textId="77777777" w:rsidR="009C0430" w:rsidRDefault="00B27CD4">
            <w:pPr>
              <w:pStyle w:val="a0"/>
              <w:numPr>
                <w:ilvl w:val="0"/>
                <w:numId w:val="7"/>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включване в стажуване, чиракуване, заетост в т.ч. в сферата на социалната икономика;</w:t>
            </w:r>
          </w:p>
          <w:p w14:paraId="50B3973C" w14:textId="77777777" w:rsidR="00664D1B" w:rsidRDefault="00B27CD4" w:rsidP="00664D1B">
            <w:pPr>
              <w:pStyle w:val="a0"/>
              <w:numPr>
                <w:ilvl w:val="0"/>
                <w:numId w:val="7"/>
              </w:numPr>
              <w:spacing w:before="120" w:after="12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насърчаване на самостоятелната заетост и др.</w:t>
            </w:r>
          </w:p>
          <w:p w14:paraId="14BDA71A" w14:textId="77777777" w:rsidR="00DE7D1A" w:rsidRDefault="00DB4CFA">
            <w:pPr>
              <w:spacing w:before="120" w:after="120"/>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i/>
                <w:sz w:val="24"/>
                <w:szCs w:val="24"/>
                <w:lang w:eastAsia="bg-BG"/>
              </w:rPr>
              <w:t>Активиране на икономически неактивни лица</w:t>
            </w:r>
            <w:r w:rsidR="00664D1B" w:rsidRPr="00664D1B">
              <w:rPr>
                <w:rFonts w:ascii="Times New Roman" w:eastAsia="Times New Roman" w:hAnsi="Times New Roman" w:cs="Times New Roman"/>
                <w:sz w:val="24"/>
                <w:szCs w:val="24"/>
                <w:lang w:eastAsia="bg-BG"/>
              </w:rPr>
              <w:t xml:space="preserve"> (лица, к</w:t>
            </w:r>
            <w:r w:rsidR="00664D1B">
              <w:rPr>
                <w:rFonts w:ascii="Times New Roman" w:eastAsia="Times New Roman" w:hAnsi="Times New Roman" w:cs="Times New Roman"/>
                <w:sz w:val="24"/>
                <w:szCs w:val="24"/>
                <w:lang w:eastAsia="bg-BG"/>
              </w:rPr>
              <w:t xml:space="preserve">оито не са заети, не са </w:t>
            </w:r>
            <w:r w:rsidR="00664D1B" w:rsidRPr="00664D1B">
              <w:rPr>
                <w:rFonts w:ascii="Times New Roman" w:eastAsia="Times New Roman" w:hAnsi="Times New Roman" w:cs="Times New Roman"/>
                <w:sz w:val="24"/>
                <w:szCs w:val="24"/>
                <w:lang w:eastAsia="bg-BG"/>
              </w:rPr>
              <w:t>регистрирани в дирекция „Бюро по труда“ и не търсят работа)</w:t>
            </w:r>
            <w:r w:rsidR="007007F9">
              <w:rPr>
                <w:rFonts w:ascii="Times New Roman" w:eastAsia="Times New Roman" w:hAnsi="Times New Roman" w:cs="Times New Roman"/>
                <w:sz w:val="24"/>
                <w:szCs w:val="24"/>
                <w:lang w:eastAsia="bg-BG"/>
              </w:rPr>
              <w:t>:</w:t>
            </w:r>
          </w:p>
          <w:p w14:paraId="4AC03CCD" w14:textId="77777777" w:rsidR="00664D1B" w:rsidRDefault="00664D1B" w:rsidP="00664D1B">
            <w:pPr>
              <w:spacing w:before="120" w:after="120"/>
              <w:jc w:val="both"/>
              <w:rPr>
                <w:rFonts w:ascii="Times New Roman" w:eastAsia="Times New Roman" w:hAnsi="Times New Roman" w:cs="Times New Roman"/>
                <w:sz w:val="24"/>
                <w:szCs w:val="24"/>
                <w:lang w:eastAsia="bg-BG"/>
              </w:rPr>
            </w:pPr>
            <w:r w:rsidRPr="00664D1B">
              <w:rPr>
                <w:rFonts w:ascii="Times New Roman" w:eastAsia="Times New Roman" w:hAnsi="Times New Roman" w:cs="Times New Roman"/>
                <w:sz w:val="24"/>
                <w:szCs w:val="24"/>
                <w:lang w:eastAsia="bg-BG"/>
              </w:rPr>
              <w:t xml:space="preserve">Активирането е комплексна дейност, която включва целенасочена работа с </w:t>
            </w:r>
            <w:proofErr w:type="spellStart"/>
            <w:r w:rsidRPr="00664D1B">
              <w:rPr>
                <w:rFonts w:ascii="Times New Roman" w:eastAsia="Times New Roman" w:hAnsi="Times New Roman" w:cs="Times New Roman"/>
                <w:sz w:val="24"/>
                <w:szCs w:val="24"/>
                <w:lang w:eastAsia="bg-BG"/>
              </w:rPr>
              <w:t>неактивнителица</w:t>
            </w:r>
            <w:proofErr w:type="spellEnd"/>
            <w:r w:rsidRPr="00664D1B">
              <w:rPr>
                <w:rFonts w:ascii="Times New Roman" w:eastAsia="Times New Roman" w:hAnsi="Times New Roman" w:cs="Times New Roman"/>
                <w:sz w:val="24"/>
                <w:szCs w:val="24"/>
                <w:lang w:eastAsia="bg-BG"/>
              </w:rPr>
              <w:t xml:space="preserve">, представители на целевата група. За да бъдат ефективни действията по </w:t>
            </w:r>
            <w:proofErr w:type="spellStart"/>
            <w:r w:rsidRPr="00664D1B">
              <w:rPr>
                <w:rFonts w:ascii="Times New Roman" w:eastAsia="Times New Roman" w:hAnsi="Times New Roman" w:cs="Times New Roman"/>
                <w:sz w:val="24"/>
                <w:szCs w:val="24"/>
                <w:lang w:eastAsia="bg-BG"/>
              </w:rPr>
              <w:t>активиранее</w:t>
            </w:r>
            <w:proofErr w:type="spellEnd"/>
            <w:r w:rsidRPr="00664D1B">
              <w:rPr>
                <w:rFonts w:ascii="Times New Roman" w:eastAsia="Times New Roman" w:hAnsi="Times New Roman" w:cs="Times New Roman"/>
                <w:sz w:val="24"/>
                <w:szCs w:val="24"/>
                <w:lang w:eastAsia="bg-BG"/>
              </w:rPr>
              <w:t xml:space="preserve"> необходим индивидуален подход спрямо лицата от посочената целева </w:t>
            </w:r>
            <w:proofErr w:type="spellStart"/>
            <w:r w:rsidRPr="00664D1B">
              <w:rPr>
                <w:rFonts w:ascii="Times New Roman" w:eastAsia="Times New Roman" w:hAnsi="Times New Roman" w:cs="Times New Roman"/>
                <w:sz w:val="24"/>
                <w:szCs w:val="24"/>
                <w:lang w:eastAsia="bg-BG"/>
              </w:rPr>
              <w:t>група.При</w:t>
            </w:r>
            <w:proofErr w:type="spellEnd"/>
            <w:r w:rsidRPr="00664D1B">
              <w:rPr>
                <w:rFonts w:ascii="Times New Roman" w:eastAsia="Times New Roman" w:hAnsi="Times New Roman" w:cs="Times New Roman"/>
                <w:sz w:val="24"/>
                <w:szCs w:val="24"/>
                <w:lang w:eastAsia="bg-BG"/>
              </w:rPr>
              <w:t xml:space="preserve"> работата си с идентифицираните неактивни лица кандидатите следва да </w:t>
            </w:r>
            <w:proofErr w:type="spellStart"/>
            <w:r w:rsidRPr="00664D1B">
              <w:rPr>
                <w:rFonts w:ascii="Times New Roman" w:eastAsia="Times New Roman" w:hAnsi="Times New Roman" w:cs="Times New Roman"/>
                <w:sz w:val="24"/>
                <w:szCs w:val="24"/>
                <w:lang w:eastAsia="bg-BG"/>
              </w:rPr>
              <w:t>гиактивират</w:t>
            </w:r>
            <w:proofErr w:type="spellEnd"/>
            <w:r w:rsidRPr="00664D1B">
              <w:rPr>
                <w:rFonts w:ascii="Times New Roman" w:eastAsia="Times New Roman" w:hAnsi="Times New Roman" w:cs="Times New Roman"/>
                <w:sz w:val="24"/>
                <w:szCs w:val="24"/>
                <w:lang w:eastAsia="bg-BG"/>
              </w:rPr>
              <w:t xml:space="preserve"> като ги насърчават и подпомагат да изберат от следните възможни „пътеки” </w:t>
            </w:r>
            <w:proofErr w:type="spellStart"/>
            <w:r w:rsidRPr="00664D1B">
              <w:rPr>
                <w:rFonts w:ascii="Times New Roman" w:eastAsia="Times New Roman" w:hAnsi="Times New Roman" w:cs="Times New Roman"/>
                <w:sz w:val="24"/>
                <w:szCs w:val="24"/>
                <w:lang w:eastAsia="bg-BG"/>
              </w:rPr>
              <w:t>заактивиране</w:t>
            </w:r>
            <w:proofErr w:type="spellEnd"/>
            <w:r w:rsidRPr="00664D1B">
              <w:rPr>
                <w:rFonts w:ascii="Times New Roman" w:eastAsia="Times New Roman" w:hAnsi="Times New Roman" w:cs="Times New Roman"/>
                <w:sz w:val="24"/>
                <w:szCs w:val="24"/>
                <w:lang w:eastAsia="bg-BG"/>
              </w:rPr>
              <w:t xml:space="preserve">: (1) Връщане в образователната система: отпадналите от </w:t>
            </w:r>
            <w:proofErr w:type="spellStart"/>
            <w:r w:rsidRPr="00664D1B">
              <w:rPr>
                <w:rFonts w:ascii="Times New Roman" w:eastAsia="Times New Roman" w:hAnsi="Times New Roman" w:cs="Times New Roman"/>
                <w:sz w:val="24"/>
                <w:szCs w:val="24"/>
                <w:lang w:eastAsia="bg-BG"/>
              </w:rPr>
              <w:t>образователнатасистема</w:t>
            </w:r>
            <w:proofErr w:type="spellEnd"/>
            <w:r w:rsidRPr="00664D1B">
              <w:rPr>
                <w:rFonts w:ascii="Times New Roman" w:eastAsia="Times New Roman" w:hAnsi="Times New Roman" w:cs="Times New Roman"/>
                <w:sz w:val="24"/>
                <w:szCs w:val="24"/>
                <w:lang w:eastAsia="bg-BG"/>
              </w:rPr>
              <w:t xml:space="preserve"> трябва да бъдат насочвани към образователни институции и структури </w:t>
            </w:r>
            <w:proofErr w:type="spellStart"/>
            <w:r w:rsidRPr="00664D1B">
              <w:rPr>
                <w:rFonts w:ascii="Times New Roman" w:eastAsia="Times New Roman" w:hAnsi="Times New Roman" w:cs="Times New Roman"/>
                <w:sz w:val="24"/>
                <w:szCs w:val="24"/>
                <w:lang w:eastAsia="bg-BG"/>
              </w:rPr>
              <w:t>наМинистерството</w:t>
            </w:r>
            <w:proofErr w:type="spellEnd"/>
            <w:r w:rsidRPr="00664D1B">
              <w:rPr>
                <w:rFonts w:ascii="Times New Roman" w:eastAsia="Times New Roman" w:hAnsi="Times New Roman" w:cs="Times New Roman"/>
                <w:sz w:val="24"/>
                <w:szCs w:val="24"/>
                <w:lang w:eastAsia="bg-BG"/>
              </w:rPr>
              <w:t xml:space="preserve"> на образованието и науката на регионално и местно ниво </w:t>
            </w:r>
            <w:proofErr w:type="spellStart"/>
            <w:r w:rsidRPr="00664D1B">
              <w:rPr>
                <w:rFonts w:ascii="Times New Roman" w:eastAsia="Times New Roman" w:hAnsi="Times New Roman" w:cs="Times New Roman"/>
                <w:sz w:val="24"/>
                <w:szCs w:val="24"/>
                <w:lang w:eastAsia="bg-BG"/>
              </w:rPr>
              <w:t>запродължаване</w:t>
            </w:r>
            <w:proofErr w:type="spellEnd"/>
            <w:r w:rsidRPr="00664D1B">
              <w:rPr>
                <w:rFonts w:ascii="Times New Roman" w:eastAsia="Times New Roman" w:hAnsi="Times New Roman" w:cs="Times New Roman"/>
                <w:sz w:val="24"/>
                <w:szCs w:val="24"/>
                <w:lang w:eastAsia="bg-BG"/>
              </w:rPr>
              <w:t xml:space="preserve"> на образованието. (2) Регистриране в дирекция „Бюро по труда”. (3)Насочване към включване в обучение във връзка с възможност за работа. (4) </w:t>
            </w:r>
            <w:proofErr w:type="spellStart"/>
            <w:r w:rsidRPr="00664D1B">
              <w:rPr>
                <w:rFonts w:ascii="Times New Roman" w:eastAsia="Times New Roman" w:hAnsi="Times New Roman" w:cs="Times New Roman"/>
                <w:sz w:val="24"/>
                <w:szCs w:val="24"/>
                <w:lang w:eastAsia="bg-BG"/>
              </w:rPr>
              <w:t>Насочванекъм</w:t>
            </w:r>
            <w:proofErr w:type="spellEnd"/>
            <w:r w:rsidRPr="00664D1B">
              <w:rPr>
                <w:rFonts w:ascii="Times New Roman" w:eastAsia="Times New Roman" w:hAnsi="Times New Roman" w:cs="Times New Roman"/>
                <w:sz w:val="24"/>
                <w:szCs w:val="24"/>
                <w:lang w:eastAsia="bg-BG"/>
              </w:rPr>
              <w:t xml:space="preserve"> реализация на пазара на труда.</w:t>
            </w:r>
          </w:p>
          <w:p w14:paraId="4BE972B1" w14:textId="77777777" w:rsidR="007007F9" w:rsidRPr="007007F9" w:rsidRDefault="00DB4CFA" w:rsidP="007007F9">
            <w:pPr>
              <w:spacing w:before="120" w:after="120" w:line="259" w:lineRule="auto"/>
              <w:jc w:val="both"/>
              <w:rPr>
                <w:rFonts w:ascii="Times New Roman" w:eastAsia="Times New Roman" w:hAnsi="Times New Roman" w:cs="Times New Roman"/>
                <w:i/>
                <w:sz w:val="24"/>
                <w:szCs w:val="24"/>
                <w:lang w:eastAsia="bg-BG"/>
              </w:rPr>
            </w:pPr>
            <w:r w:rsidRPr="00DB4CFA">
              <w:rPr>
                <w:rFonts w:ascii="Times New Roman" w:eastAsia="Times New Roman" w:hAnsi="Times New Roman" w:cs="Times New Roman"/>
                <w:i/>
                <w:sz w:val="24"/>
                <w:szCs w:val="24"/>
                <w:lang w:eastAsia="bg-BG"/>
              </w:rPr>
              <w:t>Посредничество за намиране на работа</w:t>
            </w:r>
            <w:r w:rsidR="007007F9">
              <w:rPr>
                <w:rFonts w:ascii="Times New Roman" w:eastAsia="Times New Roman" w:hAnsi="Times New Roman" w:cs="Times New Roman"/>
                <w:i/>
                <w:sz w:val="24"/>
                <w:szCs w:val="24"/>
                <w:lang w:eastAsia="bg-BG"/>
              </w:rPr>
              <w:t>:</w:t>
            </w:r>
          </w:p>
          <w:p w14:paraId="55E1D18F" w14:textId="77777777" w:rsidR="00664D1B" w:rsidRDefault="007007F9" w:rsidP="007007F9">
            <w:pPr>
              <w:spacing w:before="120" w:after="120"/>
              <w:jc w:val="both"/>
              <w:rPr>
                <w:rFonts w:ascii="Times New Roman" w:eastAsia="Times New Roman" w:hAnsi="Times New Roman" w:cs="Times New Roman"/>
                <w:sz w:val="24"/>
                <w:szCs w:val="24"/>
                <w:lang w:eastAsia="bg-BG"/>
              </w:rPr>
            </w:pPr>
            <w:r w:rsidRPr="007007F9">
              <w:rPr>
                <w:rFonts w:ascii="Times New Roman" w:eastAsia="Times New Roman" w:hAnsi="Times New Roman" w:cs="Times New Roman"/>
                <w:sz w:val="24"/>
                <w:szCs w:val="24"/>
                <w:lang w:eastAsia="bg-BG"/>
              </w:rPr>
              <w:t>Посредническата дейност се изразява в оказване съдейс</w:t>
            </w:r>
            <w:r>
              <w:rPr>
                <w:rFonts w:ascii="Times New Roman" w:eastAsia="Times New Roman" w:hAnsi="Times New Roman" w:cs="Times New Roman"/>
                <w:sz w:val="24"/>
                <w:szCs w:val="24"/>
                <w:lang w:eastAsia="bg-BG"/>
              </w:rPr>
              <w:t xml:space="preserve">твие на търсещите работа лица и </w:t>
            </w:r>
            <w:r w:rsidRPr="007007F9">
              <w:rPr>
                <w:rFonts w:ascii="Times New Roman" w:eastAsia="Times New Roman" w:hAnsi="Times New Roman" w:cs="Times New Roman"/>
                <w:sz w:val="24"/>
                <w:szCs w:val="24"/>
                <w:lang w:eastAsia="bg-BG"/>
              </w:rPr>
              <w:t>на работодателите, предлагащи работни места, с цел сключване</w:t>
            </w:r>
            <w:r>
              <w:rPr>
                <w:rFonts w:ascii="Times New Roman" w:eastAsia="Times New Roman" w:hAnsi="Times New Roman" w:cs="Times New Roman"/>
                <w:sz w:val="24"/>
                <w:szCs w:val="24"/>
                <w:lang w:eastAsia="bg-BG"/>
              </w:rPr>
              <w:t xml:space="preserve"> на договор за наемане на </w:t>
            </w:r>
            <w:r w:rsidRPr="007007F9">
              <w:rPr>
                <w:rFonts w:ascii="Times New Roman" w:eastAsia="Times New Roman" w:hAnsi="Times New Roman" w:cs="Times New Roman"/>
                <w:sz w:val="24"/>
                <w:szCs w:val="24"/>
                <w:lang w:eastAsia="bg-BG"/>
              </w:rPr>
              <w:t>работа. Чрез реализиране на конкретната дейност</w:t>
            </w:r>
            <w:r>
              <w:rPr>
                <w:rFonts w:ascii="Times New Roman" w:eastAsia="Times New Roman" w:hAnsi="Times New Roman" w:cs="Times New Roman"/>
                <w:sz w:val="24"/>
                <w:szCs w:val="24"/>
                <w:lang w:eastAsia="bg-BG"/>
              </w:rPr>
              <w:t xml:space="preserve"> се цели да се съкрати/прекрати </w:t>
            </w:r>
            <w:r w:rsidRPr="007007F9">
              <w:rPr>
                <w:rFonts w:ascii="Times New Roman" w:eastAsia="Times New Roman" w:hAnsi="Times New Roman" w:cs="Times New Roman"/>
                <w:sz w:val="24"/>
                <w:szCs w:val="24"/>
                <w:lang w:eastAsia="bg-BG"/>
              </w:rPr>
              <w:t>престоя на лицата без работа и лицата да се насочат к</w:t>
            </w:r>
            <w:r>
              <w:rPr>
                <w:rFonts w:ascii="Times New Roman" w:eastAsia="Times New Roman" w:hAnsi="Times New Roman" w:cs="Times New Roman"/>
                <w:sz w:val="24"/>
                <w:szCs w:val="24"/>
                <w:lang w:eastAsia="bg-BG"/>
              </w:rPr>
              <w:t xml:space="preserve">ъм реализация на трудовия </w:t>
            </w:r>
            <w:proofErr w:type="spellStart"/>
            <w:r>
              <w:rPr>
                <w:rFonts w:ascii="Times New Roman" w:eastAsia="Times New Roman" w:hAnsi="Times New Roman" w:cs="Times New Roman"/>
                <w:sz w:val="24"/>
                <w:szCs w:val="24"/>
                <w:lang w:eastAsia="bg-BG"/>
              </w:rPr>
              <w:t>пазар</w:t>
            </w:r>
            <w:r w:rsidRPr="007007F9">
              <w:rPr>
                <w:rFonts w:ascii="Times New Roman" w:eastAsia="Times New Roman" w:hAnsi="Times New Roman" w:cs="Times New Roman"/>
                <w:sz w:val="24"/>
                <w:szCs w:val="24"/>
                <w:lang w:eastAsia="bg-BG"/>
              </w:rPr>
              <w:t>посредством</w:t>
            </w:r>
            <w:proofErr w:type="spellEnd"/>
            <w:r w:rsidRPr="007007F9">
              <w:rPr>
                <w:rFonts w:ascii="Times New Roman" w:eastAsia="Times New Roman" w:hAnsi="Times New Roman" w:cs="Times New Roman"/>
                <w:sz w:val="24"/>
                <w:szCs w:val="24"/>
                <w:lang w:eastAsia="bg-BG"/>
              </w:rPr>
              <w:t xml:space="preserve"> предоставяне на информация, включително насочваща инфо</w:t>
            </w:r>
            <w:r>
              <w:rPr>
                <w:rFonts w:ascii="Times New Roman" w:eastAsia="Times New Roman" w:hAnsi="Times New Roman" w:cs="Times New Roman"/>
                <w:sz w:val="24"/>
                <w:szCs w:val="24"/>
                <w:lang w:eastAsia="bg-BG"/>
              </w:rPr>
              <w:t xml:space="preserve">рмация </w:t>
            </w:r>
            <w:proofErr w:type="spellStart"/>
            <w:r>
              <w:rPr>
                <w:rFonts w:ascii="Times New Roman" w:eastAsia="Times New Roman" w:hAnsi="Times New Roman" w:cs="Times New Roman"/>
                <w:sz w:val="24"/>
                <w:szCs w:val="24"/>
                <w:lang w:eastAsia="bg-BG"/>
              </w:rPr>
              <w:lastRenderedPageBreak/>
              <w:t>към</w:t>
            </w:r>
            <w:r w:rsidRPr="007007F9">
              <w:rPr>
                <w:rFonts w:ascii="Times New Roman" w:eastAsia="Times New Roman" w:hAnsi="Times New Roman" w:cs="Times New Roman"/>
                <w:sz w:val="24"/>
                <w:szCs w:val="24"/>
                <w:lang w:eastAsia="bg-BG"/>
              </w:rPr>
              <w:t>мерки</w:t>
            </w:r>
            <w:proofErr w:type="spellEnd"/>
            <w:r w:rsidRPr="007007F9">
              <w:rPr>
                <w:rFonts w:ascii="Times New Roman" w:eastAsia="Times New Roman" w:hAnsi="Times New Roman" w:cs="Times New Roman"/>
                <w:sz w:val="24"/>
                <w:szCs w:val="24"/>
                <w:lang w:eastAsia="bg-BG"/>
              </w:rPr>
              <w:t xml:space="preserve"> или програми за заетост или обучения, мотиви</w:t>
            </w:r>
            <w:r>
              <w:rPr>
                <w:rFonts w:ascii="Times New Roman" w:eastAsia="Times New Roman" w:hAnsi="Times New Roman" w:cs="Times New Roman"/>
                <w:sz w:val="24"/>
                <w:szCs w:val="24"/>
                <w:lang w:eastAsia="bg-BG"/>
              </w:rPr>
              <w:t xml:space="preserve">рането им да търсят работа и </w:t>
            </w:r>
            <w:proofErr w:type="spellStart"/>
            <w:r>
              <w:rPr>
                <w:rFonts w:ascii="Times New Roman" w:eastAsia="Times New Roman" w:hAnsi="Times New Roman" w:cs="Times New Roman"/>
                <w:sz w:val="24"/>
                <w:szCs w:val="24"/>
                <w:lang w:eastAsia="bg-BG"/>
              </w:rPr>
              <w:t>да</w:t>
            </w:r>
            <w:r w:rsidRPr="007007F9">
              <w:rPr>
                <w:rFonts w:ascii="Times New Roman" w:eastAsia="Times New Roman" w:hAnsi="Times New Roman" w:cs="Times New Roman"/>
                <w:sz w:val="24"/>
                <w:szCs w:val="24"/>
                <w:lang w:eastAsia="bg-BG"/>
              </w:rPr>
              <w:t>работят</w:t>
            </w:r>
            <w:proofErr w:type="spellEnd"/>
            <w:r w:rsidRPr="007007F9">
              <w:rPr>
                <w:rFonts w:ascii="Times New Roman" w:eastAsia="Times New Roman" w:hAnsi="Times New Roman" w:cs="Times New Roman"/>
                <w:sz w:val="24"/>
                <w:szCs w:val="24"/>
                <w:lang w:eastAsia="bg-BG"/>
              </w:rPr>
              <w:t>, да учат, вкл. да се образоват, да се регистрират в бюрата по труда.</w:t>
            </w:r>
          </w:p>
          <w:p w14:paraId="53312BF2" w14:textId="77777777" w:rsidR="007007F9" w:rsidRDefault="007007F9" w:rsidP="007007F9">
            <w:pPr>
              <w:spacing w:before="120" w:after="120"/>
              <w:jc w:val="both"/>
              <w:rPr>
                <w:rFonts w:ascii="Times New Roman" w:eastAsia="Times New Roman" w:hAnsi="Times New Roman" w:cs="Times New Roman"/>
                <w:sz w:val="24"/>
                <w:szCs w:val="24"/>
                <w:lang w:eastAsia="bg-BG"/>
              </w:rPr>
            </w:pPr>
          </w:p>
          <w:p w14:paraId="206FCA51" w14:textId="77777777" w:rsidR="007007F9" w:rsidRPr="007007F9" w:rsidRDefault="00DB4CFA" w:rsidP="007007F9">
            <w:pPr>
              <w:spacing w:before="120" w:after="120" w:line="259" w:lineRule="auto"/>
              <w:jc w:val="both"/>
              <w:rPr>
                <w:rFonts w:ascii="Times New Roman" w:eastAsia="Times New Roman" w:hAnsi="Times New Roman" w:cs="Times New Roman"/>
                <w:i/>
                <w:sz w:val="24"/>
                <w:szCs w:val="24"/>
                <w:lang w:eastAsia="bg-BG"/>
              </w:rPr>
            </w:pPr>
            <w:r w:rsidRPr="00DB4CFA">
              <w:rPr>
                <w:rFonts w:ascii="Times New Roman" w:eastAsia="Times New Roman" w:hAnsi="Times New Roman" w:cs="Times New Roman"/>
                <w:i/>
                <w:sz w:val="24"/>
                <w:szCs w:val="24"/>
                <w:lang w:eastAsia="bg-BG"/>
              </w:rPr>
              <w:t>Професионално информиран</w:t>
            </w:r>
            <w:r w:rsidR="007007F9" w:rsidRPr="007007F9">
              <w:rPr>
                <w:rFonts w:ascii="Times New Roman" w:eastAsia="Times New Roman" w:hAnsi="Times New Roman" w:cs="Times New Roman"/>
                <w:i/>
                <w:sz w:val="24"/>
                <w:szCs w:val="24"/>
                <w:lang w:eastAsia="bg-BG"/>
              </w:rPr>
              <w:t xml:space="preserve">е и </w:t>
            </w:r>
            <w:r w:rsidRPr="00DB4CFA">
              <w:rPr>
                <w:rFonts w:ascii="Times New Roman" w:eastAsia="Times New Roman" w:hAnsi="Times New Roman" w:cs="Times New Roman"/>
                <w:i/>
                <w:sz w:val="24"/>
                <w:szCs w:val="24"/>
                <w:lang w:eastAsia="bg-BG"/>
              </w:rPr>
              <w:t xml:space="preserve"> консултиране</w:t>
            </w:r>
            <w:r w:rsidR="007007F9" w:rsidRPr="007007F9">
              <w:rPr>
                <w:rFonts w:ascii="Times New Roman" w:eastAsia="Times New Roman" w:hAnsi="Times New Roman" w:cs="Times New Roman"/>
                <w:i/>
                <w:sz w:val="24"/>
                <w:szCs w:val="24"/>
                <w:lang w:eastAsia="bg-BG"/>
              </w:rPr>
              <w:t xml:space="preserve">; </w:t>
            </w:r>
            <w:proofErr w:type="spellStart"/>
            <w:r w:rsidR="007007F9" w:rsidRPr="007007F9">
              <w:rPr>
                <w:rFonts w:ascii="Times New Roman" w:eastAsia="Times New Roman" w:hAnsi="Times New Roman" w:cs="Times New Roman"/>
                <w:i/>
                <w:sz w:val="24"/>
                <w:szCs w:val="24"/>
                <w:lang w:eastAsia="bg-BG"/>
              </w:rPr>
              <w:t>психологическо</w:t>
            </w:r>
            <w:r w:rsidRPr="00DB4CFA">
              <w:rPr>
                <w:rFonts w:ascii="Times New Roman" w:eastAsia="Times New Roman" w:hAnsi="Times New Roman" w:cs="Times New Roman"/>
                <w:i/>
                <w:sz w:val="24"/>
                <w:szCs w:val="24"/>
                <w:lang w:eastAsia="bg-BG"/>
              </w:rPr>
              <w:t>подпомагане</w:t>
            </w:r>
            <w:proofErr w:type="spellEnd"/>
          </w:p>
          <w:p w14:paraId="7BB15260" w14:textId="77777777" w:rsidR="007007F9" w:rsidRPr="004663A5" w:rsidRDefault="007007F9" w:rsidP="007007F9">
            <w:pPr>
              <w:spacing w:before="120" w:after="120" w:line="259"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Професионалното информиране и</w:t>
            </w:r>
            <w:r w:rsidRPr="007007F9">
              <w:rPr>
                <w:rFonts w:ascii="Times New Roman" w:eastAsia="Times New Roman" w:hAnsi="Times New Roman" w:cs="Times New Roman"/>
                <w:sz w:val="24"/>
                <w:szCs w:val="24"/>
                <w:lang w:eastAsia="bg-BG"/>
              </w:rPr>
              <w:t xml:space="preserve"> консултиране </w:t>
            </w:r>
            <w:r>
              <w:rPr>
                <w:rFonts w:ascii="Times New Roman" w:eastAsia="Times New Roman" w:hAnsi="Times New Roman" w:cs="Times New Roman"/>
                <w:sz w:val="24"/>
                <w:szCs w:val="24"/>
                <w:lang w:eastAsia="bg-BG"/>
              </w:rPr>
              <w:t xml:space="preserve">се осъществява с </w:t>
            </w:r>
            <w:proofErr w:type="spellStart"/>
            <w:r>
              <w:rPr>
                <w:rFonts w:ascii="Times New Roman" w:eastAsia="Times New Roman" w:hAnsi="Times New Roman" w:cs="Times New Roman"/>
                <w:sz w:val="24"/>
                <w:szCs w:val="24"/>
                <w:lang w:eastAsia="bg-BG"/>
              </w:rPr>
              <w:t>цел</w:t>
            </w:r>
            <w:r w:rsidRPr="007007F9">
              <w:rPr>
                <w:rFonts w:ascii="Times New Roman" w:eastAsia="Times New Roman" w:hAnsi="Times New Roman" w:cs="Times New Roman"/>
                <w:sz w:val="24"/>
                <w:szCs w:val="24"/>
                <w:lang w:eastAsia="bg-BG"/>
              </w:rPr>
              <w:t>подпомагане</w:t>
            </w:r>
            <w:proofErr w:type="spellEnd"/>
            <w:r w:rsidRPr="007007F9">
              <w:rPr>
                <w:rFonts w:ascii="Times New Roman" w:eastAsia="Times New Roman" w:hAnsi="Times New Roman" w:cs="Times New Roman"/>
                <w:sz w:val="24"/>
                <w:szCs w:val="24"/>
                <w:lang w:eastAsia="bg-BG"/>
              </w:rPr>
              <w:t xml:space="preserve"> на лицата в съответствие с техния </w:t>
            </w:r>
            <w:r>
              <w:rPr>
                <w:rFonts w:ascii="Times New Roman" w:eastAsia="Times New Roman" w:hAnsi="Times New Roman" w:cs="Times New Roman"/>
                <w:sz w:val="24"/>
                <w:szCs w:val="24"/>
                <w:lang w:eastAsia="bg-BG"/>
              </w:rPr>
              <w:t xml:space="preserve">личностен профил и </w:t>
            </w:r>
            <w:proofErr w:type="spellStart"/>
            <w:r>
              <w:rPr>
                <w:rFonts w:ascii="Times New Roman" w:eastAsia="Times New Roman" w:hAnsi="Times New Roman" w:cs="Times New Roman"/>
                <w:sz w:val="24"/>
                <w:szCs w:val="24"/>
                <w:lang w:eastAsia="bg-BG"/>
              </w:rPr>
              <w:t>индивидуални</w:t>
            </w:r>
            <w:r w:rsidRPr="007007F9">
              <w:rPr>
                <w:rFonts w:ascii="Times New Roman" w:eastAsia="Times New Roman" w:hAnsi="Times New Roman" w:cs="Times New Roman"/>
                <w:sz w:val="24"/>
                <w:szCs w:val="24"/>
                <w:lang w:eastAsia="bg-BG"/>
              </w:rPr>
              <w:t>характеристики</w:t>
            </w:r>
            <w:proofErr w:type="spellEnd"/>
            <w:r w:rsidRPr="007007F9">
              <w:rPr>
                <w:rFonts w:ascii="Times New Roman" w:eastAsia="Times New Roman" w:hAnsi="Times New Roman" w:cs="Times New Roman"/>
                <w:sz w:val="24"/>
                <w:szCs w:val="24"/>
                <w:lang w:eastAsia="bg-BG"/>
              </w:rPr>
              <w:t xml:space="preserve"> при избора им на професия, подходящ</w:t>
            </w:r>
            <w:r>
              <w:rPr>
                <w:rFonts w:ascii="Times New Roman" w:eastAsia="Times New Roman" w:hAnsi="Times New Roman" w:cs="Times New Roman"/>
                <w:sz w:val="24"/>
                <w:szCs w:val="24"/>
                <w:lang w:eastAsia="bg-BG"/>
              </w:rPr>
              <w:t>о обучение и кариерно развитие.</w:t>
            </w:r>
          </w:p>
          <w:p w14:paraId="5CB21B9E" w14:textId="77777777" w:rsidR="007007F9" w:rsidRPr="007007F9" w:rsidRDefault="007007F9" w:rsidP="007007F9">
            <w:pPr>
              <w:spacing w:before="120" w:after="120"/>
              <w:jc w:val="both"/>
              <w:rPr>
                <w:rFonts w:ascii="Times New Roman" w:eastAsia="Times New Roman" w:hAnsi="Times New Roman" w:cs="Times New Roman"/>
                <w:sz w:val="24"/>
                <w:szCs w:val="24"/>
                <w:lang w:eastAsia="bg-BG"/>
              </w:rPr>
            </w:pPr>
            <w:r w:rsidRPr="007007F9">
              <w:rPr>
                <w:rFonts w:ascii="Times New Roman" w:eastAsia="Times New Roman" w:hAnsi="Times New Roman" w:cs="Times New Roman"/>
                <w:sz w:val="24"/>
                <w:szCs w:val="24"/>
                <w:lang w:eastAsia="bg-BG"/>
              </w:rPr>
              <w:t>Консултациите са свързани с предоставяне на компетен</w:t>
            </w:r>
            <w:r>
              <w:rPr>
                <w:rFonts w:ascii="Times New Roman" w:eastAsia="Times New Roman" w:hAnsi="Times New Roman" w:cs="Times New Roman"/>
                <w:sz w:val="24"/>
                <w:szCs w:val="24"/>
                <w:lang w:eastAsia="bg-BG"/>
              </w:rPr>
              <w:t xml:space="preserve">тен съвет, актуална </w:t>
            </w:r>
            <w:proofErr w:type="spellStart"/>
            <w:r>
              <w:rPr>
                <w:rFonts w:ascii="Times New Roman" w:eastAsia="Times New Roman" w:hAnsi="Times New Roman" w:cs="Times New Roman"/>
                <w:sz w:val="24"/>
                <w:szCs w:val="24"/>
                <w:lang w:eastAsia="bg-BG"/>
              </w:rPr>
              <w:t>информация,</w:t>
            </w:r>
            <w:r w:rsidRPr="007007F9">
              <w:rPr>
                <w:rFonts w:ascii="Times New Roman" w:eastAsia="Times New Roman" w:hAnsi="Times New Roman" w:cs="Times New Roman"/>
                <w:sz w:val="24"/>
                <w:szCs w:val="24"/>
                <w:lang w:eastAsia="bg-BG"/>
              </w:rPr>
              <w:t>споделяне</w:t>
            </w:r>
            <w:proofErr w:type="spellEnd"/>
            <w:r w:rsidRPr="007007F9">
              <w:rPr>
                <w:rFonts w:ascii="Times New Roman" w:eastAsia="Times New Roman" w:hAnsi="Times New Roman" w:cs="Times New Roman"/>
                <w:sz w:val="24"/>
                <w:szCs w:val="24"/>
                <w:lang w:eastAsia="bg-BG"/>
              </w:rPr>
              <w:t xml:space="preserve"> на опит, знания и умения, спрямо индивиду</w:t>
            </w:r>
            <w:r>
              <w:rPr>
                <w:rFonts w:ascii="Times New Roman" w:eastAsia="Times New Roman" w:hAnsi="Times New Roman" w:cs="Times New Roman"/>
                <w:sz w:val="24"/>
                <w:szCs w:val="24"/>
                <w:lang w:eastAsia="bg-BG"/>
              </w:rPr>
              <w:t xml:space="preserve">алните потребности на лицата </w:t>
            </w:r>
            <w:proofErr w:type="spellStart"/>
            <w:r>
              <w:rPr>
                <w:rFonts w:ascii="Times New Roman" w:eastAsia="Times New Roman" w:hAnsi="Times New Roman" w:cs="Times New Roman"/>
                <w:sz w:val="24"/>
                <w:szCs w:val="24"/>
                <w:lang w:eastAsia="bg-BG"/>
              </w:rPr>
              <w:t>от</w:t>
            </w:r>
            <w:r w:rsidRPr="007007F9">
              <w:rPr>
                <w:rFonts w:ascii="Times New Roman" w:eastAsia="Times New Roman" w:hAnsi="Times New Roman" w:cs="Times New Roman"/>
                <w:sz w:val="24"/>
                <w:szCs w:val="24"/>
                <w:lang w:eastAsia="bg-BG"/>
              </w:rPr>
              <w:t>целе</w:t>
            </w:r>
            <w:r>
              <w:rPr>
                <w:rFonts w:ascii="Times New Roman" w:eastAsia="Times New Roman" w:hAnsi="Times New Roman" w:cs="Times New Roman"/>
                <w:sz w:val="24"/>
                <w:szCs w:val="24"/>
                <w:lang w:eastAsia="bg-BG"/>
              </w:rPr>
              <w:t>вата</w:t>
            </w:r>
            <w:proofErr w:type="spellEnd"/>
            <w:r>
              <w:rPr>
                <w:rFonts w:ascii="Times New Roman" w:eastAsia="Times New Roman" w:hAnsi="Times New Roman" w:cs="Times New Roman"/>
                <w:sz w:val="24"/>
                <w:szCs w:val="24"/>
                <w:lang w:eastAsia="bg-BG"/>
              </w:rPr>
              <w:t xml:space="preserve"> група в определена </w:t>
            </w:r>
            <w:proofErr w:type="spellStart"/>
            <w:r>
              <w:rPr>
                <w:rFonts w:ascii="Times New Roman" w:eastAsia="Times New Roman" w:hAnsi="Times New Roman" w:cs="Times New Roman"/>
                <w:sz w:val="24"/>
                <w:szCs w:val="24"/>
                <w:lang w:eastAsia="bg-BG"/>
              </w:rPr>
              <w:t>област.</w:t>
            </w:r>
            <w:r w:rsidRPr="007007F9">
              <w:rPr>
                <w:rFonts w:ascii="Times New Roman" w:eastAsia="Times New Roman" w:hAnsi="Times New Roman" w:cs="Times New Roman"/>
                <w:sz w:val="24"/>
                <w:szCs w:val="24"/>
                <w:lang w:eastAsia="bg-BG"/>
              </w:rPr>
              <w:t>Всяка</w:t>
            </w:r>
            <w:proofErr w:type="spellEnd"/>
            <w:r w:rsidRPr="007007F9">
              <w:rPr>
                <w:rFonts w:ascii="Times New Roman" w:eastAsia="Times New Roman" w:hAnsi="Times New Roman" w:cs="Times New Roman"/>
                <w:sz w:val="24"/>
                <w:szCs w:val="24"/>
                <w:lang w:eastAsia="bg-BG"/>
              </w:rPr>
              <w:t xml:space="preserve"> една услуга/дейност трябва да е обвързана с к</w:t>
            </w:r>
            <w:r>
              <w:rPr>
                <w:rFonts w:ascii="Times New Roman" w:eastAsia="Times New Roman" w:hAnsi="Times New Roman" w:cs="Times New Roman"/>
                <w:sz w:val="24"/>
                <w:szCs w:val="24"/>
                <w:lang w:eastAsia="bg-BG"/>
              </w:rPr>
              <w:t xml:space="preserve">онкретни резултати, които да </w:t>
            </w:r>
            <w:proofErr w:type="spellStart"/>
            <w:r>
              <w:rPr>
                <w:rFonts w:ascii="Times New Roman" w:eastAsia="Times New Roman" w:hAnsi="Times New Roman" w:cs="Times New Roman"/>
                <w:sz w:val="24"/>
                <w:szCs w:val="24"/>
                <w:lang w:eastAsia="bg-BG"/>
              </w:rPr>
              <w:t>са</w:t>
            </w:r>
            <w:r w:rsidRPr="007007F9">
              <w:rPr>
                <w:rFonts w:ascii="Times New Roman" w:eastAsia="Times New Roman" w:hAnsi="Times New Roman" w:cs="Times New Roman"/>
                <w:sz w:val="24"/>
                <w:szCs w:val="24"/>
                <w:lang w:eastAsia="bg-BG"/>
              </w:rPr>
              <w:t>измерими</w:t>
            </w:r>
            <w:proofErr w:type="spellEnd"/>
            <w:r w:rsidRPr="007007F9">
              <w:rPr>
                <w:rFonts w:ascii="Times New Roman" w:eastAsia="Times New Roman" w:hAnsi="Times New Roman" w:cs="Times New Roman"/>
                <w:sz w:val="24"/>
                <w:szCs w:val="24"/>
                <w:lang w:eastAsia="bg-BG"/>
              </w:rPr>
              <w:t>, доказуеми и съответстващи на целите на бен</w:t>
            </w:r>
            <w:r>
              <w:rPr>
                <w:rFonts w:ascii="Times New Roman" w:eastAsia="Times New Roman" w:hAnsi="Times New Roman" w:cs="Times New Roman"/>
                <w:sz w:val="24"/>
                <w:szCs w:val="24"/>
                <w:lang w:eastAsia="bg-BG"/>
              </w:rPr>
              <w:t xml:space="preserve">ефициента за осъществяваната </w:t>
            </w:r>
            <w:proofErr w:type="spellStart"/>
            <w:r>
              <w:rPr>
                <w:rFonts w:ascii="Times New Roman" w:eastAsia="Times New Roman" w:hAnsi="Times New Roman" w:cs="Times New Roman"/>
                <w:sz w:val="24"/>
                <w:szCs w:val="24"/>
                <w:lang w:eastAsia="bg-BG"/>
              </w:rPr>
              <w:t>от</w:t>
            </w:r>
            <w:r w:rsidRPr="007007F9">
              <w:rPr>
                <w:rFonts w:ascii="Times New Roman" w:eastAsia="Times New Roman" w:hAnsi="Times New Roman" w:cs="Times New Roman"/>
                <w:sz w:val="24"/>
                <w:szCs w:val="24"/>
                <w:lang w:eastAsia="bg-BG"/>
              </w:rPr>
              <w:t>него</w:t>
            </w:r>
            <w:proofErr w:type="spellEnd"/>
            <w:r w:rsidRPr="007007F9">
              <w:rPr>
                <w:rFonts w:ascii="Times New Roman" w:eastAsia="Times New Roman" w:hAnsi="Times New Roman" w:cs="Times New Roman"/>
                <w:sz w:val="24"/>
                <w:szCs w:val="24"/>
                <w:lang w:eastAsia="bg-BG"/>
              </w:rPr>
              <w:t xml:space="preserve"> дейност.</w:t>
            </w:r>
          </w:p>
          <w:p w14:paraId="37DA6839" w14:textId="77777777" w:rsidR="007007F9" w:rsidRPr="007007F9" w:rsidRDefault="00DB4CFA" w:rsidP="007007F9">
            <w:pPr>
              <w:spacing w:before="120" w:after="120" w:line="259" w:lineRule="auto"/>
              <w:jc w:val="both"/>
              <w:rPr>
                <w:rFonts w:ascii="Times New Roman" w:eastAsia="Times New Roman" w:hAnsi="Times New Roman" w:cs="Times New Roman"/>
                <w:i/>
                <w:sz w:val="24"/>
                <w:szCs w:val="24"/>
                <w:lang w:eastAsia="bg-BG"/>
              </w:rPr>
            </w:pPr>
            <w:r w:rsidRPr="00DB4CFA">
              <w:rPr>
                <w:rFonts w:ascii="Times New Roman" w:eastAsia="Times New Roman" w:hAnsi="Times New Roman" w:cs="Times New Roman"/>
                <w:i/>
                <w:sz w:val="24"/>
                <w:szCs w:val="24"/>
                <w:lang w:eastAsia="bg-BG"/>
              </w:rPr>
              <w:t>Предоставяне на мотивационни обучения за активно търсене на работа.</w:t>
            </w:r>
          </w:p>
          <w:p w14:paraId="50DD14CB" w14:textId="77777777" w:rsidR="007007F9" w:rsidRPr="00664D1B" w:rsidRDefault="007007F9" w:rsidP="007007F9">
            <w:pPr>
              <w:spacing w:before="120" w:after="120" w:line="259" w:lineRule="auto"/>
              <w:jc w:val="both"/>
              <w:rPr>
                <w:rFonts w:ascii="Times New Roman" w:eastAsia="Times New Roman" w:hAnsi="Times New Roman" w:cs="Times New Roman"/>
                <w:sz w:val="24"/>
                <w:szCs w:val="24"/>
                <w:lang w:eastAsia="bg-BG"/>
              </w:rPr>
            </w:pPr>
            <w:r w:rsidRPr="007007F9">
              <w:rPr>
                <w:rFonts w:ascii="Times New Roman" w:eastAsia="Times New Roman" w:hAnsi="Times New Roman" w:cs="Times New Roman"/>
                <w:sz w:val="24"/>
                <w:szCs w:val="24"/>
                <w:lang w:eastAsia="bg-BG"/>
              </w:rPr>
              <w:t>Мотивационно обучение е обучение за стимул</w:t>
            </w:r>
            <w:r>
              <w:rPr>
                <w:rFonts w:ascii="Times New Roman" w:eastAsia="Times New Roman" w:hAnsi="Times New Roman" w:cs="Times New Roman"/>
                <w:sz w:val="24"/>
                <w:szCs w:val="24"/>
                <w:lang w:eastAsia="bg-BG"/>
              </w:rPr>
              <w:t xml:space="preserve">иране и насочване на лицата </w:t>
            </w:r>
            <w:proofErr w:type="spellStart"/>
            <w:r>
              <w:rPr>
                <w:rFonts w:ascii="Times New Roman" w:eastAsia="Times New Roman" w:hAnsi="Times New Roman" w:cs="Times New Roman"/>
                <w:sz w:val="24"/>
                <w:szCs w:val="24"/>
                <w:lang w:eastAsia="bg-BG"/>
              </w:rPr>
              <w:t>към</w:t>
            </w:r>
            <w:r w:rsidRPr="007007F9">
              <w:rPr>
                <w:rFonts w:ascii="Times New Roman" w:eastAsia="Times New Roman" w:hAnsi="Times New Roman" w:cs="Times New Roman"/>
                <w:sz w:val="24"/>
                <w:szCs w:val="24"/>
                <w:lang w:eastAsia="bg-BG"/>
              </w:rPr>
              <w:t>придобиване</w:t>
            </w:r>
            <w:proofErr w:type="spellEnd"/>
            <w:r w:rsidRPr="007007F9">
              <w:rPr>
                <w:rFonts w:ascii="Times New Roman" w:eastAsia="Times New Roman" w:hAnsi="Times New Roman" w:cs="Times New Roman"/>
                <w:sz w:val="24"/>
                <w:szCs w:val="24"/>
                <w:lang w:eastAsia="bg-BG"/>
              </w:rPr>
              <w:t xml:space="preserve"> на умения за активно поведение на пазара</w:t>
            </w:r>
            <w:r>
              <w:rPr>
                <w:rFonts w:ascii="Times New Roman" w:eastAsia="Times New Roman" w:hAnsi="Times New Roman" w:cs="Times New Roman"/>
                <w:sz w:val="24"/>
                <w:szCs w:val="24"/>
                <w:lang w:eastAsia="bg-BG"/>
              </w:rPr>
              <w:t xml:space="preserve"> на труда, вкл. към </w:t>
            </w:r>
            <w:proofErr w:type="spellStart"/>
            <w:r>
              <w:rPr>
                <w:rFonts w:ascii="Times New Roman" w:eastAsia="Times New Roman" w:hAnsi="Times New Roman" w:cs="Times New Roman"/>
                <w:sz w:val="24"/>
                <w:szCs w:val="24"/>
                <w:lang w:eastAsia="bg-BG"/>
              </w:rPr>
              <w:t>придобиване</w:t>
            </w:r>
            <w:r w:rsidRPr="007007F9">
              <w:rPr>
                <w:rFonts w:ascii="Times New Roman" w:eastAsia="Times New Roman" w:hAnsi="Times New Roman" w:cs="Times New Roman"/>
                <w:sz w:val="24"/>
                <w:szCs w:val="24"/>
                <w:lang w:eastAsia="bg-BG"/>
              </w:rPr>
              <w:t>на</w:t>
            </w:r>
            <w:proofErr w:type="spellEnd"/>
            <w:r w:rsidRPr="007007F9">
              <w:rPr>
                <w:rFonts w:ascii="Times New Roman" w:eastAsia="Times New Roman" w:hAnsi="Times New Roman" w:cs="Times New Roman"/>
                <w:sz w:val="24"/>
                <w:szCs w:val="24"/>
                <w:lang w:eastAsia="bg-BG"/>
              </w:rPr>
              <w:t xml:space="preserve"> професионална квалификация и/или заетост. Мо</w:t>
            </w:r>
            <w:r>
              <w:rPr>
                <w:rFonts w:ascii="Times New Roman" w:eastAsia="Times New Roman" w:hAnsi="Times New Roman" w:cs="Times New Roman"/>
                <w:sz w:val="24"/>
                <w:szCs w:val="24"/>
                <w:lang w:eastAsia="bg-BG"/>
              </w:rPr>
              <w:t xml:space="preserve">тивационното обучение трябва </w:t>
            </w:r>
            <w:proofErr w:type="spellStart"/>
            <w:r>
              <w:rPr>
                <w:rFonts w:ascii="Times New Roman" w:eastAsia="Times New Roman" w:hAnsi="Times New Roman" w:cs="Times New Roman"/>
                <w:sz w:val="24"/>
                <w:szCs w:val="24"/>
                <w:lang w:eastAsia="bg-BG"/>
              </w:rPr>
              <w:t>да</w:t>
            </w:r>
            <w:r w:rsidRPr="007007F9">
              <w:rPr>
                <w:rFonts w:ascii="Times New Roman" w:eastAsia="Times New Roman" w:hAnsi="Times New Roman" w:cs="Times New Roman"/>
                <w:sz w:val="24"/>
                <w:szCs w:val="24"/>
                <w:lang w:eastAsia="bg-BG"/>
              </w:rPr>
              <w:t>бъде</w:t>
            </w:r>
            <w:proofErr w:type="spellEnd"/>
            <w:r w:rsidRPr="007007F9">
              <w:rPr>
                <w:rFonts w:ascii="Times New Roman" w:eastAsia="Times New Roman" w:hAnsi="Times New Roman" w:cs="Times New Roman"/>
                <w:sz w:val="24"/>
                <w:szCs w:val="24"/>
                <w:lang w:eastAsia="bg-BG"/>
              </w:rPr>
              <w:t xml:space="preserve"> проведено така, че лицата от целевата група </w:t>
            </w:r>
            <w:r>
              <w:rPr>
                <w:rFonts w:ascii="Times New Roman" w:eastAsia="Times New Roman" w:hAnsi="Times New Roman" w:cs="Times New Roman"/>
                <w:sz w:val="24"/>
                <w:szCs w:val="24"/>
                <w:lang w:eastAsia="bg-BG"/>
              </w:rPr>
              <w:t xml:space="preserve">да придобият знания и умения </w:t>
            </w:r>
            <w:proofErr w:type="spellStart"/>
            <w:r>
              <w:rPr>
                <w:rFonts w:ascii="Times New Roman" w:eastAsia="Times New Roman" w:hAnsi="Times New Roman" w:cs="Times New Roman"/>
                <w:sz w:val="24"/>
                <w:szCs w:val="24"/>
                <w:lang w:eastAsia="bg-BG"/>
              </w:rPr>
              <w:t>за</w:t>
            </w:r>
            <w:r w:rsidRPr="007007F9">
              <w:rPr>
                <w:rFonts w:ascii="Times New Roman" w:eastAsia="Times New Roman" w:hAnsi="Times New Roman" w:cs="Times New Roman"/>
                <w:sz w:val="24"/>
                <w:szCs w:val="24"/>
                <w:lang w:eastAsia="bg-BG"/>
              </w:rPr>
              <w:t>ориентиране</w:t>
            </w:r>
            <w:proofErr w:type="spellEnd"/>
            <w:r w:rsidRPr="007007F9">
              <w:rPr>
                <w:rFonts w:ascii="Times New Roman" w:eastAsia="Times New Roman" w:hAnsi="Times New Roman" w:cs="Times New Roman"/>
                <w:sz w:val="24"/>
                <w:szCs w:val="24"/>
                <w:lang w:eastAsia="bg-BG"/>
              </w:rPr>
              <w:t xml:space="preserve"> на пазара на труда и адаптиране към не</w:t>
            </w:r>
            <w:r>
              <w:rPr>
                <w:rFonts w:ascii="Times New Roman" w:eastAsia="Times New Roman" w:hAnsi="Times New Roman" w:cs="Times New Roman"/>
                <w:sz w:val="24"/>
                <w:szCs w:val="24"/>
                <w:lang w:eastAsia="bg-BG"/>
              </w:rPr>
              <w:t xml:space="preserve">говите изисквания, за търсене </w:t>
            </w:r>
            <w:proofErr w:type="spellStart"/>
            <w:r>
              <w:rPr>
                <w:rFonts w:ascii="Times New Roman" w:eastAsia="Times New Roman" w:hAnsi="Times New Roman" w:cs="Times New Roman"/>
                <w:sz w:val="24"/>
                <w:szCs w:val="24"/>
                <w:lang w:eastAsia="bg-BG"/>
              </w:rPr>
              <w:t>и</w:t>
            </w:r>
            <w:r w:rsidRPr="007007F9">
              <w:rPr>
                <w:rFonts w:ascii="Times New Roman" w:eastAsia="Times New Roman" w:hAnsi="Times New Roman" w:cs="Times New Roman"/>
                <w:sz w:val="24"/>
                <w:szCs w:val="24"/>
                <w:lang w:eastAsia="bg-BG"/>
              </w:rPr>
              <w:t>избор</w:t>
            </w:r>
            <w:proofErr w:type="spellEnd"/>
            <w:r w:rsidRPr="007007F9">
              <w:rPr>
                <w:rFonts w:ascii="Times New Roman" w:eastAsia="Times New Roman" w:hAnsi="Times New Roman" w:cs="Times New Roman"/>
                <w:sz w:val="24"/>
                <w:szCs w:val="24"/>
                <w:lang w:eastAsia="bg-BG"/>
              </w:rPr>
              <w:t xml:space="preserve"> на подходяща заетост. Обучението трябва да</w:t>
            </w:r>
            <w:r>
              <w:rPr>
                <w:rFonts w:ascii="Times New Roman" w:eastAsia="Times New Roman" w:hAnsi="Times New Roman" w:cs="Times New Roman"/>
                <w:sz w:val="24"/>
                <w:szCs w:val="24"/>
                <w:lang w:eastAsia="bg-BG"/>
              </w:rPr>
              <w:t xml:space="preserve"> бъде насочено към усвояване на</w:t>
            </w:r>
            <w:r w:rsidRPr="007007F9">
              <w:rPr>
                <w:rFonts w:ascii="Times New Roman" w:eastAsia="Times New Roman" w:hAnsi="Times New Roman" w:cs="Times New Roman"/>
                <w:sz w:val="24"/>
                <w:szCs w:val="24"/>
                <w:lang w:eastAsia="bg-BG"/>
              </w:rPr>
              <w:t>умения за подготовка на документи за кандидатстване за</w:t>
            </w:r>
            <w:r>
              <w:rPr>
                <w:rFonts w:ascii="Times New Roman" w:eastAsia="Times New Roman" w:hAnsi="Times New Roman" w:cs="Times New Roman"/>
                <w:sz w:val="24"/>
                <w:szCs w:val="24"/>
                <w:lang w:eastAsia="bg-BG"/>
              </w:rPr>
              <w:t xml:space="preserve"> работа, усвояване на умения </w:t>
            </w:r>
            <w:proofErr w:type="spellStart"/>
            <w:r>
              <w:rPr>
                <w:rFonts w:ascii="Times New Roman" w:eastAsia="Times New Roman" w:hAnsi="Times New Roman" w:cs="Times New Roman"/>
                <w:sz w:val="24"/>
                <w:szCs w:val="24"/>
                <w:lang w:eastAsia="bg-BG"/>
              </w:rPr>
              <w:t>за</w:t>
            </w:r>
            <w:r w:rsidRPr="007007F9">
              <w:rPr>
                <w:rFonts w:ascii="Times New Roman" w:eastAsia="Times New Roman" w:hAnsi="Times New Roman" w:cs="Times New Roman"/>
                <w:sz w:val="24"/>
                <w:szCs w:val="24"/>
                <w:lang w:eastAsia="bg-BG"/>
              </w:rPr>
              <w:t>ефективно</w:t>
            </w:r>
            <w:proofErr w:type="spellEnd"/>
            <w:r w:rsidRPr="007007F9">
              <w:rPr>
                <w:rFonts w:ascii="Times New Roman" w:eastAsia="Times New Roman" w:hAnsi="Times New Roman" w:cs="Times New Roman"/>
                <w:sz w:val="24"/>
                <w:szCs w:val="24"/>
                <w:lang w:eastAsia="bg-BG"/>
              </w:rPr>
              <w:t xml:space="preserve"> използване на различни източници на</w:t>
            </w:r>
            <w:r>
              <w:rPr>
                <w:rFonts w:ascii="Times New Roman" w:eastAsia="Times New Roman" w:hAnsi="Times New Roman" w:cs="Times New Roman"/>
                <w:sz w:val="24"/>
                <w:szCs w:val="24"/>
                <w:lang w:eastAsia="bg-BG"/>
              </w:rPr>
              <w:t xml:space="preserve"> информация за свободни </w:t>
            </w:r>
            <w:proofErr w:type="spellStart"/>
            <w:r>
              <w:rPr>
                <w:rFonts w:ascii="Times New Roman" w:eastAsia="Times New Roman" w:hAnsi="Times New Roman" w:cs="Times New Roman"/>
                <w:sz w:val="24"/>
                <w:szCs w:val="24"/>
                <w:lang w:eastAsia="bg-BG"/>
              </w:rPr>
              <w:t>работни</w:t>
            </w:r>
            <w:r w:rsidRPr="007007F9">
              <w:rPr>
                <w:rFonts w:ascii="Times New Roman" w:eastAsia="Times New Roman" w:hAnsi="Times New Roman" w:cs="Times New Roman"/>
                <w:sz w:val="24"/>
                <w:szCs w:val="24"/>
                <w:lang w:eastAsia="bg-BG"/>
              </w:rPr>
              <w:t>места</w:t>
            </w:r>
            <w:proofErr w:type="spellEnd"/>
            <w:r w:rsidRPr="007007F9">
              <w:rPr>
                <w:rFonts w:ascii="Times New Roman" w:eastAsia="Times New Roman" w:hAnsi="Times New Roman" w:cs="Times New Roman"/>
                <w:sz w:val="24"/>
                <w:szCs w:val="24"/>
                <w:lang w:eastAsia="bg-BG"/>
              </w:rPr>
              <w:t>, усвояване на умения за успешн</w:t>
            </w:r>
            <w:r>
              <w:rPr>
                <w:rFonts w:ascii="Times New Roman" w:eastAsia="Times New Roman" w:hAnsi="Times New Roman" w:cs="Times New Roman"/>
                <w:sz w:val="24"/>
                <w:szCs w:val="24"/>
                <w:lang w:eastAsia="bg-BG"/>
              </w:rPr>
              <w:t xml:space="preserve">о представяне пред </w:t>
            </w:r>
            <w:proofErr w:type="spellStart"/>
            <w:r>
              <w:rPr>
                <w:rFonts w:ascii="Times New Roman" w:eastAsia="Times New Roman" w:hAnsi="Times New Roman" w:cs="Times New Roman"/>
                <w:sz w:val="24"/>
                <w:szCs w:val="24"/>
                <w:lang w:eastAsia="bg-BG"/>
              </w:rPr>
              <w:t>работодател.</w:t>
            </w:r>
            <w:r w:rsidRPr="007007F9">
              <w:rPr>
                <w:rFonts w:ascii="Times New Roman" w:eastAsia="Times New Roman" w:hAnsi="Times New Roman" w:cs="Times New Roman"/>
                <w:sz w:val="24"/>
                <w:szCs w:val="24"/>
                <w:lang w:eastAsia="bg-BG"/>
              </w:rPr>
              <w:t>Допустимата</w:t>
            </w:r>
            <w:proofErr w:type="spellEnd"/>
            <w:r w:rsidRPr="007007F9">
              <w:rPr>
                <w:rFonts w:ascii="Times New Roman" w:eastAsia="Times New Roman" w:hAnsi="Times New Roman" w:cs="Times New Roman"/>
                <w:sz w:val="24"/>
                <w:szCs w:val="24"/>
                <w:lang w:eastAsia="bg-BG"/>
              </w:rPr>
              <w:t xml:space="preserve"> стойност на безвъзмездната финансова помощ за едно лице, вклю</w:t>
            </w:r>
            <w:r>
              <w:rPr>
                <w:rFonts w:ascii="Times New Roman" w:eastAsia="Times New Roman" w:hAnsi="Times New Roman" w:cs="Times New Roman"/>
                <w:sz w:val="24"/>
                <w:szCs w:val="24"/>
                <w:lang w:eastAsia="bg-BG"/>
              </w:rPr>
              <w:t xml:space="preserve">чено </w:t>
            </w:r>
            <w:proofErr w:type="spellStart"/>
            <w:r>
              <w:rPr>
                <w:rFonts w:ascii="Times New Roman" w:eastAsia="Times New Roman" w:hAnsi="Times New Roman" w:cs="Times New Roman"/>
                <w:sz w:val="24"/>
                <w:szCs w:val="24"/>
                <w:lang w:eastAsia="bg-BG"/>
              </w:rPr>
              <w:t>в</w:t>
            </w:r>
            <w:r w:rsidRPr="007007F9">
              <w:rPr>
                <w:rFonts w:ascii="Times New Roman" w:eastAsia="Times New Roman" w:hAnsi="Times New Roman" w:cs="Times New Roman"/>
                <w:sz w:val="24"/>
                <w:szCs w:val="24"/>
                <w:lang w:eastAsia="bg-BG"/>
              </w:rPr>
              <w:t>мотивационно</w:t>
            </w:r>
            <w:proofErr w:type="spellEnd"/>
            <w:r w:rsidRPr="007007F9">
              <w:rPr>
                <w:rFonts w:ascii="Times New Roman" w:eastAsia="Times New Roman" w:hAnsi="Times New Roman" w:cs="Times New Roman"/>
                <w:sz w:val="24"/>
                <w:szCs w:val="24"/>
                <w:lang w:eastAsia="bg-BG"/>
              </w:rPr>
              <w:t xml:space="preserve"> обучение да е в размер на 80 лв. за 30 учебни часа на лице.</w:t>
            </w:r>
          </w:p>
          <w:p w14:paraId="4C739187" w14:textId="77777777" w:rsidR="009C0430" w:rsidRDefault="00B27CD4">
            <w:pPr>
              <w:pStyle w:val="a0"/>
              <w:spacing w:before="120" w:after="120"/>
              <w:ind w:left="0"/>
              <w:contextualSpacing w:val="0"/>
              <w:jc w:val="both"/>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Обучения за придобиване на професионална квалификация:</w:t>
            </w:r>
          </w:p>
          <w:p w14:paraId="08A2C376"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Предоставят се от лицензирани Центрове за професионално обучение (ЦПО) - </w:t>
            </w:r>
            <w:hyperlink r:id="rId10" w:history="1">
              <w:r>
                <w:rPr>
                  <w:rStyle w:val="afc"/>
                  <w:rFonts w:ascii="Times New Roman" w:eastAsia="Times New Roman" w:hAnsi="Times New Roman" w:cs="Times New Roman"/>
                  <w:sz w:val="24"/>
                  <w:szCs w:val="24"/>
                  <w:lang w:eastAsia="bg-BG"/>
                </w:rPr>
                <w:t>http://www.navet.government.bg/bg/statut-na-tspo/</w:t>
              </w:r>
            </w:hyperlink>
            <w:r>
              <w:rPr>
                <w:rFonts w:ascii="Times New Roman" w:eastAsia="Times New Roman" w:hAnsi="Times New Roman" w:cs="Times New Roman"/>
                <w:sz w:val="24"/>
                <w:szCs w:val="24"/>
                <w:lang w:eastAsia="bg-BG"/>
              </w:rPr>
              <w:t>. Обученията могат да бъдат и по част от професия.</w:t>
            </w:r>
          </w:p>
          <w:p w14:paraId="67312A0E"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Изисквания към всички обучения за професионална квалификация:</w:t>
            </w:r>
          </w:p>
          <w:p w14:paraId="64275105"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Професионалното обучение се осъществява в съответствие с изискванията на Закона за професионалното образование и обучение.</w:t>
            </w:r>
          </w:p>
          <w:p w14:paraId="535C2945"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Допустимо е обучението единствено по професии и специалности, включени в Списъка на професиите за професионално образование и обучение, утвърден от Националната агенция за професионално обучение и образование (НАПОО) - </w:t>
            </w:r>
            <w:hyperlink r:id="rId11" w:history="1">
              <w:r>
                <w:rPr>
                  <w:rStyle w:val="afc"/>
                  <w:rFonts w:ascii="Times New Roman" w:eastAsia="Times New Roman" w:hAnsi="Times New Roman" w:cs="Times New Roman"/>
                  <w:sz w:val="24"/>
                  <w:szCs w:val="24"/>
                  <w:lang w:eastAsia="bg-BG"/>
                </w:rPr>
                <w:t>http://www.navet.government.bg/bg/aktualen-spisak-na-profesiite-za-poo/</w:t>
              </w:r>
            </w:hyperlink>
            <w:r>
              <w:rPr>
                <w:rFonts w:ascii="Times New Roman" w:eastAsia="Times New Roman" w:hAnsi="Times New Roman" w:cs="Times New Roman"/>
                <w:sz w:val="24"/>
                <w:szCs w:val="24"/>
                <w:lang w:eastAsia="bg-BG"/>
              </w:rPr>
              <w:t>.</w:t>
            </w:r>
          </w:p>
          <w:p w14:paraId="11A830F5" w14:textId="77777777" w:rsidR="009C0430" w:rsidRDefault="00B27CD4">
            <w:pPr>
              <w:pStyle w:val="Default"/>
              <w:jc w:val="both"/>
            </w:pPr>
            <w:r>
              <w:t xml:space="preserve">Обучението следва да води до придобиване на степен на професионална квалификация или придобиване на квалификация по част от професия, удостоверени със съответните документи съгласно чл. 38, ал. 2 и ал. 3 от ЗПОО. </w:t>
            </w:r>
          </w:p>
          <w:p w14:paraId="7C6AE843" w14:textId="77777777" w:rsidR="009C0430" w:rsidRDefault="00B27CD4">
            <w:pPr>
              <w:pStyle w:val="a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При по-голям брой лица (например повече от 15 лица), включени в обучение, лицата следва да бъдат разпределени по групи в зависимост от вида и/или спецификата на обучението за постигане на максимална ефективност..</w:t>
            </w:r>
          </w:p>
          <w:p w14:paraId="2C5D5A90" w14:textId="77777777" w:rsidR="009C0430" w:rsidRDefault="00B27CD4">
            <w:pPr>
              <w:pStyle w:val="a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Продължителността на обученията и стойността за едно обучение за едно лице, спрямо степента на професионална квалификация, са както следва:</w:t>
            </w:r>
          </w:p>
          <w:p w14:paraId="1468027C" w14:textId="77777777" w:rsidR="009C0430" w:rsidRDefault="00B27CD4">
            <w:pPr>
              <w:pStyle w:val="a0"/>
              <w:numPr>
                <w:ilvl w:val="0"/>
                <w:numId w:val="8"/>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първа квалификационна степен – мин. 300 учебни часа –600 лв.;</w:t>
            </w:r>
          </w:p>
          <w:p w14:paraId="7533FD0D" w14:textId="77777777" w:rsidR="009C0430" w:rsidRDefault="00B27CD4">
            <w:pPr>
              <w:pStyle w:val="a0"/>
              <w:numPr>
                <w:ilvl w:val="0"/>
                <w:numId w:val="8"/>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втора квалификационна степен - мин. 660 учебни часа –1200 лв.;</w:t>
            </w:r>
          </w:p>
          <w:p w14:paraId="667FC9CA" w14:textId="77777777" w:rsidR="009C0430" w:rsidRDefault="00B27CD4">
            <w:pPr>
              <w:pStyle w:val="a0"/>
              <w:numPr>
                <w:ilvl w:val="0"/>
                <w:numId w:val="8"/>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трета квалификационна степен - мин. 960 учебни часа –1800 лв.;</w:t>
            </w:r>
          </w:p>
          <w:p w14:paraId="4F6D4424" w14:textId="77777777" w:rsidR="009C0430" w:rsidRDefault="00B27CD4">
            <w:pPr>
              <w:pStyle w:val="a0"/>
              <w:numPr>
                <w:ilvl w:val="0"/>
                <w:numId w:val="8"/>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част от професия по първа квалификационна степен - мин. 200 учебни часа –400 лв.;</w:t>
            </w:r>
          </w:p>
          <w:p w14:paraId="2DDBF94A" w14:textId="77777777" w:rsidR="009C0430" w:rsidRDefault="00B27CD4">
            <w:pPr>
              <w:pStyle w:val="a0"/>
              <w:numPr>
                <w:ilvl w:val="0"/>
                <w:numId w:val="8"/>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част от професия по втора квалификационна степен - мин. 300 учебни часа –600 лв.;</w:t>
            </w:r>
          </w:p>
          <w:p w14:paraId="6AF7480C" w14:textId="77777777" w:rsidR="009C0430" w:rsidRDefault="00B27CD4">
            <w:pPr>
              <w:pStyle w:val="a0"/>
              <w:numPr>
                <w:ilvl w:val="0"/>
                <w:numId w:val="8"/>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част от професия по трета квалификационна степен - мин. 600 учебни часа –1125 лв.</w:t>
            </w:r>
          </w:p>
          <w:p w14:paraId="2B93EF18" w14:textId="77777777" w:rsidR="009C0430" w:rsidRDefault="00B27CD4">
            <w:pPr>
              <w:pStyle w:val="Default"/>
              <w:jc w:val="both"/>
            </w:pPr>
            <w:r>
              <w:t xml:space="preserve">Обучението по професионална квалификация се възлага от кандидата на </w:t>
            </w:r>
            <w:proofErr w:type="spellStart"/>
            <w:r>
              <w:t>изпълнител.Кандидатът</w:t>
            </w:r>
            <w:proofErr w:type="spellEnd"/>
            <w:r>
              <w:t xml:space="preserve"> трябва да избере обучаваща организация/институция по реда на глава четвърта от ЗУСЕСИФ и ПМС 160/01.07.2016 г. или ЗОП и свързаната подзаконова нормативна уредба, в зависимост от това, дали се явява възложител по реда на ЗОП или не.</w:t>
            </w:r>
          </w:p>
          <w:p w14:paraId="65483393"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Допустимо е </w:t>
            </w:r>
            <w:r>
              <w:rPr>
                <w:rFonts w:ascii="Times New Roman" w:eastAsia="Times New Roman" w:hAnsi="Times New Roman" w:cs="Times New Roman"/>
                <w:b/>
                <w:sz w:val="24"/>
                <w:szCs w:val="24"/>
                <w:lang w:eastAsia="bg-BG"/>
              </w:rPr>
              <w:t>кандидатът/</w:t>
            </w:r>
            <w:proofErr w:type="spellStart"/>
            <w:r>
              <w:rPr>
                <w:rFonts w:ascii="Times New Roman" w:eastAsia="Times New Roman" w:hAnsi="Times New Roman" w:cs="Times New Roman"/>
                <w:b/>
                <w:sz w:val="24"/>
                <w:szCs w:val="24"/>
                <w:lang w:eastAsia="bg-BG"/>
              </w:rPr>
              <w:t>партньорът</w:t>
            </w:r>
            <w:r>
              <w:rPr>
                <w:rFonts w:ascii="Times New Roman" w:eastAsia="Times New Roman" w:hAnsi="Times New Roman" w:cs="Times New Roman"/>
                <w:sz w:val="24"/>
                <w:szCs w:val="24"/>
                <w:lang w:eastAsia="bg-BG"/>
              </w:rPr>
              <w:t>да</w:t>
            </w:r>
            <w:proofErr w:type="spellEnd"/>
            <w:r>
              <w:rPr>
                <w:rFonts w:ascii="Times New Roman" w:eastAsia="Times New Roman" w:hAnsi="Times New Roman" w:cs="Times New Roman"/>
                <w:sz w:val="24"/>
                <w:szCs w:val="24"/>
                <w:lang w:eastAsia="bg-BG"/>
              </w:rPr>
              <w:t xml:space="preserve"> извърши самостоятелно обучение/я по професионална квалификация, само ако притежава ЦПО с активно лицензия от НАПОО по професиите, по които ще проведе обучение/я. В такъв случай, за </w:t>
            </w:r>
            <w:r>
              <w:rPr>
                <w:rFonts w:ascii="Times New Roman" w:eastAsia="Times New Roman" w:hAnsi="Times New Roman" w:cs="Times New Roman"/>
                <w:b/>
                <w:sz w:val="24"/>
                <w:szCs w:val="24"/>
                <w:lang w:eastAsia="bg-BG"/>
              </w:rPr>
              <w:t>кандидатът/партньорът</w:t>
            </w:r>
            <w:r>
              <w:rPr>
                <w:rFonts w:ascii="Times New Roman" w:eastAsia="Times New Roman" w:hAnsi="Times New Roman" w:cs="Times New Roman"/>
                <w:sz w:val="24"/>
                <w:szCs w:val="24"/>
                <w:lang w:eastAsia="bg-BG"/>
              </w:rPr>
              <w:t xml:space="preserve"> е задължително да обучи в професионална квалификация поне толкова представители на целевата група, колкото се предвижда да наеме след обучението. Това обстоятелство следва да бъде посочено в т. 11.5 от Формуляра за кандидатстване</w:t>
            </w:r>
          </w:p>
          <w:p w14:paraId="1DEF6FA9" w14:textId="77777777" w:rsidR="009C0430" w:rsidRDefault="009C0430">
            <w:pPr>
              <w:pStyle w:val="Default"/>
              <w:jc w:val="both"/>
            </w:pPr>
          </w:p>
          <w:p w14:paraId="059B7765" w14:textId="77777777" w:rsidR="009C0430" w:rsidRDefault="00B27CD4">
            <w:pPr>
              <w:pStyle w:val="Default"/>
              <w:jc w:val="both"/>
            </w:pPr>
            <w:r>
              <w:t>При описанието на дейността във формуляра за кандидатстване трябва да се предостави следната информация:</w:t>
            </w:r>
          </w:p>
          <w:p w14:paraId="38401EBB"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Наименование на обучаващата организация; </w:t>
            </w:r>
          </w:p>
          <w:p w14:paraId="0EE7B8E3"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Номер на лицензията от НАПОО; </w:t>
            </w:r>
          </w:p>
          <w:p w14:paraId="6AACA4D8"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Наименование и код на професията, и код на специалността; </w:t>
            </w:r>
          </w:p>
          <w:p w14:paraId="7C3CDE23"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4. Хорариум на обучението (Посочва се продължителност на курса в учебни часове (45 минути), съобразена с минималните изисквания за хорариум, посочени по-горе); </w:t>
            </w:r>
          </w:p>
          <w:p w14:paraId="4622E597"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5. Брой на обучаваните лица; </w:t>
            </w:r>
          </w:p>
          <w:p w14:paraId="43CEBBE1"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6. Документ, доказващ завършеното обучение. </w:t>
            </w:r>
          </w:p>
          <w:p w14:paraId="6D0A8166" w14:textId="77777777" w:rsidR="009C0430" w:rsidRDefault="009C0430">
            <w:pPr>
              <w:jc w:val="both"/>
              <w:rPr>
                <w:rFonts w:ascii="Times New Roman" w:eastAsia="Times New Roman" w:hAnsi="Times New Roman" w:cs="Times New Roman"/>
                <w:sz w:val="24"/>
                <w:szCs w:val="24"/>
                <w:lang w:eastAsia="bg-BG"/>
              </w:rPr>
            </w:pPr>
          </w:p>
          <w:p w14:paraId="47131E04"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случай че обучението по професионална квалификация ще се възлага на изпълнител, се предоставя информация от т. 3 до т. 6.</w:t>
            </w:r>
          </w:p>
          <w:p w14:paraId="437351F3" w14:textId="77777777" w:rsidR="009C0430" w:rsidRDefault="00B27CD4">
            <w:pPr>
              <w:pStyle w:val="Default"/>
              <w:jc w:val="both"/>
              <w:rPr>
                <w:b/>
                <w:u w:val="single"/>
              </w:rPr>
            </w:pPr>
            <w:r>
              <w:rPr>
                <w:b/>
                <w:u w:val="single"/>
              </w:rPr>
              <w:t xml:space="preserve">За успешно завършило обучение лице ще се счита всяко лице, което: има присъствие минимум 80% от хорариума за съответното обучение, проведен е заключителен изпити (когато е приложимо) и на съответното лице е предоставен документ удостоверяващ завършеното обучение. </w:t>
            </w:r>
          </w:p>
          <w:p w14:paraId="3A1BB098" w14:textId="77777777" w:rsidR="009C0430" w:rsidRDefault="009C0430">
            <w:pPr>
              <w:pStyle w:val="a0"/>
              <w:spacing w:before="120" w:after="120"/>
              <w:ind w:left="0"/>
              <w:contextualSpacing w:val="0"/>
              <w:jc w:val="both"/>
              <w:rPr>
                <w:rFonts w:ascii="Times New Roman" w:eastAsia="Times New Roman" w:hAnsi="Times New Roman" w:cs="Times New Roman"/>
                <w:sz w:val="24"/>
                <w:szCs w:val="24"/>
                <w:lang w:eastAsia="bg-BG"/>
              </w:rPr>
            </w:pPr>
          </w:p>
          <w:p w14:paraId="53527E7A" w14:textId="77777777" w:rsidR="009C0430" w:rsidRDefault="00B27CD4">
            <w:pPr>
              <w:pStyle w:val="a0"/>
              <w:spacing w:before="120" w:after="120"/>
              <w:ind w:left="0"/>
              <w:contextualSpacing w:val="0"/>
              <w:jc w:val="both"/>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Обучение за придобиване на ключова компетентност:</w:t>
            </w:r>
          </w:p>
          <w:p w14:paraId="1ECADE32"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Целта на обучението е придобиване на познания по някоя от </w:t>
            </w:r>
            <w:proofErr w:type="spellStart"/>
            <w:r>
              <w:rPr>
                <w:rFonts w:ascii="Times New Roman" w:eastAsia="Times New Roman" w:hAnsi="Times New Roman" w:cs="Times New Roman"/>
                <w:sz w:val="24"/>
                <w:szCs w:val="24"/>
                <w:lang w:eastAsia="bg-BG"/>
              </w:rPr>
              <w:t>седемтеключови</w:t>
            </w:r>
            <w:proofErr w:type="spellEnd"/>
            <w:r>
              <w:rPr>
                <w:rFonts w:ascii="Times New Roman" w:eastAsia="Times New Roman" w:hAnsi="Times New Roman" w:cs="Times New Roman"/>
                <w:sz w:val="24"/>
                <w:szCs w:val="24"/>
                <w:lang w:eastAsia="bg-BG"/>
              </w:rPr>
              <w:t xml:space="preserve"> компетентности. </w:t>
            </w:r>
          </w:p>
          <w:p w14:paraId="67BAEFC4"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Ключовите компетентности (КК), определени съгласно Европейската референтна рамка </w:t>
            </w:r>
            <w:r>
              <w:rPr>
                <w:rFonts w:ascii="Times New Roman" w:eastAsia="Times New Roman" w:hAnsi="Times New Roman" w:cs="Times New Roman"/>
                <w:sz w:val="24"/>
                <w:szCs w:val="24"/>
                <w:lang w:eastAsia="bg-BG"/>
              </w:rPr>
              <w:lastRenderedPageBreak/>
              <w:t>на ключовите компетентности са: КК 1 – Общуване на роден език; КК 2 – Общуване на чужди езици; КК 3 - Математическа компетентност и основни знания в областта на природните науки и технологиите; КК 4 – Дигитална компетентност; КК 5 – Умение за учене; КК 6 – Обществени и граждански компетентности; КК 7 – Инициативност и предприемачество.</w:t>
            </w:r>
          </w:p>
          <w:p w14:paraId="098D169C"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Изисквания към обучението по КК:</w:t>
            </w:r>
          </w:p>
          <w:p w14:paraId="04A92170" w14:textId="77777777" w:rsidR="009C0430" w:rsidRDefault="00B27CD4">
            <w:pPr>
              <w:pStyle w:val="Default"/>
              <w:jc w:val="both"/>
            </w:pPr>
            <w:r>
              <w:t xml:space="preserve">- Обученията по КК трябва да бъдат извършени от организации или преподаватели с опит в представянето на обучения по съответната компетентност; </w:t>
            </w:r>
          </w:p>
          <w:p w14:paraId="67747318" w14:textId="77777777" w:rsidR="009C0430" w:rsidRDefault="00B27CD4">
            <w:pPr>
              <w:pStyle w:val="a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Обучението по КК, следва да завърши със съответен документ, удостоверяващ придобитите знания и умения.</w:t>
            </w:r>
          </w:p>
          <w:p w14:paraId="79703C67" w14:textId="77777777" w:rsidR="009C0430" w:rsidRDefault="00B27CD4">
            <w:pPr>
              <w:pStyle w:val="Default"/>
              <w:jc w:val="both"/>
            </w:pPr>
            <w:r>
              <w:t xml:space="preserve">- Изборът на лица за включване в обучение за съответната ключова компетентност следва да се извърши след провеждане на входящ тест от обучаващата организация/институция за определяне на нивото (ако е приложимо). </w:t>
            </w:r>
          </w:p>
          <w:p w14:paraId="61CA2FB4" w14:textId="77777777" w:rsidR="009C0430" w:rsidRDefault="00B27CD4">
            <w:pPr>
              <w:pStyle w:val="Default"/>
              <w:jc w:val="both"/>
            </w:pPr>
            <w:r>
              <w:t>- При по-голям брой лица (например повече от 15 лица), включени в обучение, лицата следва да бъдат разпределени по групи в зависимост от вида обучение за постигане на максимална ефективност.</w:t>
            </w:r>
          </w:p>
          <w:p w14:paraId="24950900" w14:textId="77777777" w:rsidR="009C0430" w:rsidRDefault="00B27CD4">
            <w:pPr>
              <w:pStyle w:val="Default"/>
              <w:jc w:val="both"/>
            </w:pPr>
            <w:r>
              <w:t>Всяко обучение по ключови компетентности следва да отговаря на изискванията за минимална продължителност/брой нива и допустима цена, както следва:</w:t>
            </w:r>
          </w:p>
          <w:p w14:paraId="0486FB1A" w14:textId="77777777" w:rsidR="009C0430" w:rsidRDefault="009C0430">
            <w:pPr>
              <w:pStyle w:val="a0"/>
              <w:ind w:left="0"/>
              <w:contextualSpacing w:val="0"/>
              <w:jc w:val="both"/>
              <w:rPr>
                <w:rFonts w:ascii="Times New Roman" w:eastAsia="Times New Roman" w:hAnsi="Times New Roman" w:cs="Times New Roman"/>
                <w:sz w:val="24"/>
                <w:szCs w:val="24"/>
                <w:lang w:eastAsia="bg-BG"/>
              </w:rPr>
            </w:pPr>
          </w:p>
          <w:p w14:paraId="495BCD77" w14:textId="77777777" w:rsidR="009C0430" w:rsidRDefault="00B27CD4">
            <w:pPr>
              <w:pStyle w:val="a0"/>
              <w:numPr>
                <w:ilvl w:val="0"/>
                <w:numId w:val="9"/>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ключова компетентност 1 – мин. 16 учебни часа –70 лв.;</w:t>
            </w:r>
          </w:p>
          <w:p w14:paraId="61E630D6" w14:textId="77777777" w:rsidR="009C0430" w:rsidRDefault="00B27CD4">
            <w:pPr>
              <w:pStyle w:val="a0"/>
              <w:numPr>
                <w:ilvl w:val="0"/>
                <w:numId w:val="9"/>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 ключова компетентност 2 –мин. 300 учебни часа за три нива на обучение –700 лв. за трите нива; </w:t>
            </w:r>
          </w:p>
          <w:p w14:paraId="56EC5D14" w14:textId="77777777" w:rsidR="009C0430" w:rsidRDefault="00B27CD4">
            <w:pPr>
              <w:pStyle w:val="a0"/>
              <w:numPr>
                <w:ilvl w:val="0"/>
                <w:numId w:val="9"/>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 ключова компетентност 3 - мин. 30 учебни часа –140 лв.; </w:t>
            </w:r>
          </w:p>
          <w:p w14:paraId="44BBB237" w14:textId="77777777" w:rsidR="009C0430" w:rsidRDefault="00B27CD4">
            <w:pPr>
              <w:pStyle w:val="a0"/>
              <w:numPr>
                <w:ilvl w:val="0"/>
                <w:numId w:val="9"/>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 ключова компетентност 4 - мин. 45 учебни часа –250 лв.; </w:t>
            </w:r>
          </w:p>
          <w:p w14:paraId="6FB0BBAC" w14:textId="77777777" w:rsidR="009C0430" w:rsidRDefault="00B27CD4">
            <w:pPr>
              <w:pStyle w:val="a0"/>
              <w:numPr>
                <w:ilvl w:val="0"/>
                <w:numId w:val="9"/>
              </w:numPr>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 ключови компетентности 5, 6 и 7 - мин. 30 учебни часа –140 лв. </w:t>
            </w:r>
          </w:p>
          <w:p w14:paraId="6A1CB190" w14:textId="77777777" w:rsidR="009C0430" w:rsidRDefault="00B27CD4">
            <w:pPr>
              <w:pStyle w:val="Default"/>
              <w:jc w:val="both"/>
            </w:pPr>
            <w:r>
              <w:t>Кандидатът трябва да избере обучаваща организация/институция или физически лица, които да проведат обучението по реда на глава четвърта от ЗУСЕСИФ и ПМС 160/01.07.2016 г. или ЗОП и свързаната подзаконова нормативна уредба, в зависимост от това, дали се явява възложител по реда на ЗОП или не.</w:t>
            </w:r>
          </w:p>
          <w:p w14:paraId="69D4D9B8" w14:textId="77777777" w:rsidR="009C0430" w:rsidRDefault="00B27CD4">
            <w:pPr>
              <w:pStyle w:val="Default"/>
              <w:jc w:val="both"/>
            </w:pPr>
            <w:r>
              <w:t xml:space="preserve">При описанието на дейността се предоставя информация  за: </w:t>
            </w:r>
          </w:p>
          <w:p w14:paraId="25B16414" w14:textId="77777777" w:rsidR="009C0430" w:rsidRDefault="00B27CD4">
            <w:pPr>
              <w:pStyle w:val="Default"/>
              <w:jc w:val="both"/>
            </w:pPr>
            <w:r>
              <w:t>1. Брой на обучаваните лица.</w:t>
            </w:r>
          </w:p>
          <w:p w14:paraId="21590CE3" w14:textId="77777777" w:rsidR="009C0430" w:rsidRDefault="00B27CD4">
            <w:pPr>
              <w:spacing w:before="120" w:after="120"/>
              <w:jc w:val="both"/>
              <w:rPr>
                <w:rFonts w:ascii="Times New Roman" w:eastAsia="Times New Roman" w:hAnsi="Times New Roman" w:cs="Times New Roman"/>
                <w:sz w:val="20"/>
                <w:szCs w:val="20"/>
                <w:lang w:eastAsia="bg-BG"/>
              </w:rPr>
            </w:pPr>
            <w:r>
              <w:rPr>
                <w:rFonts w:ascii="Times New Roman" w:eastAsia="Times New Roman" w:hAnsi="Times New Roman" w:cs="Times New Roman"/>
                <w:sz w:val="24"/>
                <w:szCs w:val="24"/>
                <w:lang w:eastAsia="bg-BG"/>
              </w:rPr>
              <w:t xml:space="preserve">2. Хорариум на обучението (Посочва се продължителност на курса в учебни часове (45 минути), съобразена с минималните изисквания за хорариум, посочени по-горе); </w:t>
            </w:r>
          </w:p>
          <w:p w14:paraId="70502E17" w14:textId="77777777" w:rsidR="009C0430" w:rsidRDefault="00B27CD4">
            <w:pPr>
              <w:pStyle w:val="Default"/>
              <w:jc w:val="both"/>
            </w:pPr>
            <w:r>
              <w:t xml:space="preserve"> 3. Документ, доказващ завършеното обучение.</w:t>
            </w:r>
          </w:p>
          <w:p w14:paraId="4F050916" w14:textId="77777777" w:rsidR="009C0430" w:rsidRDefault="009C0430">
            <w:pPr>
              <w:pStyle w:val="a0"/>
              <w:contextualSpacing w:val="0"/>
              <w:jc w:val="both"/>
              <w:rPr>
                <w:rFonts w:ascii="Times New Roman" w:eastAsia="Times New Roman" w:hAnsi="Times New Roman" w:cs="Times New Roman"/>
                <w:sz w:val="24"/>
                <w:szCs w:val="24"/>
                <w:lang w:eastAsia="bg-BG"/>
              </w:rPr>
            </w:pPr>
          </w:p>
          <w:p w14:paraId="0F3A7E04" w14:textId="77777777" w:rsidR="009C0430" w:rsidRDefault="00B27CD4">
            <w:pPr>
              <w:pStyle w:val="Default"/>
              <w:jc w:val="both"/>
              <w:rPr>
                <w:b/>
                <w:u w:val="single"/>
              </w:rPr>
            </w:pPr>
            <w:r>
              <w:rPr>
                <w:b/>
                <w:u w:val="single"/>
              </w:rPr>
              <w:t xml:space="preserve">За успешно завършило обучението лице ще се счита всяко лице, което: има присъствие минимум 80% от хорариума за съответното обучение, проведен е заключителен изпити (когато е приложимо) и на съответното лице е предоставен документ удостоверяващ завършеното обучение. </w:t>
            </w:r>
          </w:p>
          <w:p w14:paraId="52011DF1" w14:textId="77777777" w:rsidR="003936F8" w:rsidRDefault="003936F8" w:rsidP="003936F8">
            <w:pPr>
              <w:pStyle w:val="Default"/>
              <w:jc w:val="both"/>
              <w:rPr>
                <w:b/>
                <w:u w:val="single"/>
              </w:rPr>
            </w:pPr>
          </w:p>
          <w:p w14:paraId="0FE69320" w14:textId="77777777" w:rsidR="003936F8" w:rsidRPr="003936F8" w:rsidRDefault="003936F8" w:rsidP="003936F8">
            <w:pPr>
              <w:pStyle w:val="Default"/>
              <w:jc w:val="both"/>
              <w:rPr>
                <w:b/>
                <w:u w:val="single"/>
              </w:rPr>
            </w:pPr>
            <w:r w:rsidRPr="003936F8">
              <w:rPr>
                <w:b/>
                <w:u w:val="single"/>
              </w:rPr>
              <w:t>Важно:</w:t>
            </w:r>
          </w:p>
          <w:p w14:paraId="1BA6EDAC" w14:textId="77777777" w:rsidR="003936F8" w:rsidRDefault="003936F8" w:rsidP="003936F8">
            <w:pPr>
              <w:pStyle w:val="Default"/>
              <w:jc w:val="both"/>
              <w:rPr>
                <w:b/>
                <w:u w:val="single"/>
              </w:rPr>
            </w:pPr>
            <w:r w:rsidRPr="003936F8">
              <w:rPr>
                <w:b/>
                <w:u w:val="single"/>
              </w:rPr>
              <w:t>В случай че се предвиждат обучения за лицата от целевата група се допуска едно ли</w:t>
            </w:r>
            <w:r>
              <w:rPr>
                <w:b/>
                <w:u w:val="single"/>
              </w:rPr>
              <w:t xml:space="preserve">це да </w:t>
            </w:r>
            <w:r w:rsidRPr="003936F8">
              <w:rPr>
                <w:b/>
                <w:u w:val="single"/>
              </w:rPr>
              <w:t>бъде включено само в едно обучение по професионал</w:t>
            </w:r>
            <w:r>
              <w:rPr>
                <w:b/>
                <w:u w:val="single"/>
              </w:rPr>
              <w:t xml:space="preserve">на квалификация или само в едно </w:t>
            </w:r>
            <w:r w:rsidRPr="003936F8">
              <w:rPr>
                <w:b/>
                <w:u w:val="single"/>
              </w:rPr>
              <w:t>обучение по ключови компетентности, или в по едно обучение и от двата вида.</w:t>
            </w:r>
          </w:p>
          <w:p w14:paraId="6DF8980E" w14:textId="77777777" w:rsidR="009C0430" w:rsidRDefault="009C0430">
            <w:pPr>
              <w:pStyle w:val="Default"/>
              <w:jc w:val="both"/>
            </w:pPr>
          </w:p>
          <w:p w14:paraId="74EE303E" w14:textId="77777777" w:rsidR="009C0430" w:rsidRDefault="009C0430">
            <w:pPr>
              <w:pStyle w:val="a0"/>
              <w:spacing w:before="120" w:after="120"/>
              <w:ind w:left="0"/>
              <w:contextualSpacing w:val="0"/>
              <w:jc w:val="both"/>
              <w:rPr>
                <w:rFonts w:ascii="Times New Roman" w:eastAsia="Times New Roman" w:hAnsi="Times New Roman" w:cs="Times New Roman"/>
                <w:b/>
                <w:i/>
                <w:sz w:val="24"/>
                <w:szCs w:val="24"/>
                <w:lang w:eastAsia="bg-BG"/>
              </w:rPr>
            </w:pPr>
          </w:p>
          <w:p w14:paraId="70BDAEBC"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b/>
                <w:i/>
                <w:sz w:val="24"/>
                <w:szCs w:val="24"/>
                <w:lang w:eastAsia="bg-BG"/>
              </w:rPr>
              <w:t>Осигуряване на стипендии на обучаващите се:</w:t>
            </w:r>
          </w:p>
          <w:p w14:paraId="37E55803"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Допустими са при обучение на неактивни или безработни лица. Тези разходи са в размер на 10 лева в населеното място и 15 лв. на ден, извън населеното място, за всеки присъствен учебен ден</w:t>
            </w:r>
            <w:r>
              <w:rPr>
                <w:rStyle w:val="afb"/>
                <w:rFonts w:ascii="Times New Roman" w:eastAsia="Times New Roman" w:hAnsi="Times New Roman" w:cs="Times New Roman"/>
                <w:sz w:val="24"/>
                <w:szCs w:val="24"/>
                <w:lang w:eastAsia="bg-BG"/>
              </w:rPr>
              <w:footnoteReference w:id="7"/>
            </w:r>
            <w:r>
              <w:rPr>
                <w:rFonts w:ascii="Times New Roman" w:eastAsia="Times New Roman" w:hAnsi="Times New Roman" w:cs="Times New Roman"/>
                <w:sz w:val="24"/>
                <w:szCs w:val="24"/>
                <w:lang w:eastAsia="bg-BG"/>
              </w:rPr>
              <w:t xml:space="preserve"> (минимум 6 учебни часа дневно). </w:t>
            </w:r>
          </w:p>
          <w:p w14:paraId="746E2C59" w14:textId="77777777" w:rsidR="009B0878" w:rsidRDefault="00DB4CFA">
            <w:pPr>
              <w:pStyle w:val="a0"/>
              <w:spacing w:before="120" w:after="120"/>
              <w:ind w:left="0"/>
              <w:contextualSpacing w:val="0"/>
              <w:jc w:val="both"/>
              <w:rPr>
                <w:rFonts w:ascii="Times New Roman" w:eastAsia="Times New Roman" w:hAnsi="Times New Roman" w:cs="Times New Roman"/>
                <w:i/>
                <w:sz w:val="24"/>
                <w:szCs w:val="24"/>
                <w:lang w:eastAsia="bg-BG"/>
              </w:rPr>
            </w:pPr>
            <w:r w:rsidRPr="00DB4CFA">
              <w:rPr>
                <w:rFonts w:ascii="Times New Roman" w:eastAsia="Times New Roman" w:hAnsi="Times New Roman" w:cs="Times New Roman"/>
                <w:i/>
                <w:sz w:val="24"/>
                <w:szCs w:val="24"/>
                <w:lang w:eastAsia="bg-BG"/>
              </w:rPr>
              <w:t>Включване в стажуване, чиракуване, заетост в т.ч. в сферата на социалната икономика;</w:t>
            </w:r>
          </w:p>
          <w:p w14:paraId="41A85A8D" w14:textId="77777777" w:rsidR="00DE34BC" w:rsidRPr="00DE34BC" w:rsidRDefault="00DE34BC" w:rsidP="0046026B">
            <w:pPr>
              <w:pStyle w:val="a0"/>
              <w:spacing w:before="120" w:after="120" w:line="259" w:lineRule="auto"/>
              <w:ind w:left="-14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DB4CFA" w:rsidRPr="00DB4CFA">
              <w:rPr>
                <w:rFonts w:ascii="Times New Roman" w:eastAsia="Times New Roman" w:hAnsi="Times New Roman" w:cs="Times New Roman"/>
                <w:sz w:val="24"/>
                <w:szCs w:val="24"/>
                <w:lang w:eastAsia="bg-BG"/>
              </w:rPr>
              <w:t>Стажуването“ е изпълнение на работа под наставничеството на работодателя или на</w:t>
            </w:r>
          </w:p>
          <w:p w14:paraId="72A6B5C0" w14:textId="77777777" w:rsidR="00DE34BC" w:rsidRPr="00DE34BC" w:rsidRDefault="00DB4CFA" w:rsidP="00504A71">
            <w:pPr>
              <w:pStyle w:val="a0"/>
              <w:spacing w:before="120" w:after="120" w:line="259" w:lineRule="auto"/>
              <w:ind w:left="-142"/>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определено от него лице – наставник, с цел усвояване на практически умения по</w:t>
            </w:r>
          </w:p>
          <w:p w14:paraId="0097817D" w14:textId="77777777" w:rsidR="00DE34BC" w:rsidRDefault="00DB4CFA" w:rsidP="007872AD">
            <w:pPr>
              <w:pStyle w:val="a0"/>
              <w:spacing w:before="120" w:after="120"/>
              <w:ind w:left="-142"/>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придобитата професия или специалност.</w:t>
            </w:r>
          </w:p>
          <w:p w14:paraId="4F4F39E7" w14:textId="77777777" w:rsidR="00DE7D1A" w:rsidRDefault="00DE7D1A">
            <w:pPr>
              <w:pStyle w:val="a0"/>
              <w:spacing w:before="120" w:after="120"/>
              <w:ind w:left="-142"/>
              <w:rPr>
                <w:rFonts w:ascii="Times New Roman" w:eastAsia="Times New Roman" w:hAnsi="Times New Roman" w:cs="Times New Roman"/>
                <w:sz w:val="24"/>
                <w:szCs w:val="24"/>
                <w:lang w:eastAsia="bg-BG"/>
              </w:rPr>
            </w:pPr>
          </w:p>
          <w:p w14:paraId="2D6D342D" w14:textId="77777777" w:rsidR="00DE7D1A" w:rsidRDefault="00DB4CFA">
            <w:pPr>
              <w:pStyle w:val="a0"/>
              <w:spacing w:before="120" w:after="120"/>
              <w:ind w:left="-142"/>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„Чиракуването“ е обучение на конкретно работно място, под ръководството на</w:t>
            </w:r>
          </w:p>
          <w:p w14:paraId="51777ECF" w14:textId="77777777" w:rsidR="00DE7D1A" w:rsidRDefault="00DB4CFA">
            <w:pPr>
              <w:pStyle w:val="a0"/>
              <w:spacing w:before="120" w:after="120"/>
              <w:ind w:left="-142"/>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наставник. Придобиването на професионална квалификация по този начин се явява</w:t>
            </w:r>
          </w:p>
          <w:p w14:paraId="7048AA95" w14:textId="77777777" w:rsidR="00DE7D1A" w:rsidRDefault="00DB4CFA">
            <w:pPr>
              <w:pStyle w:val="a0"/>
              <w:spacing w:before="120" w:after="120"/>
              <w:ind w:left="-142"/>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подходяща форма за обучение на младежите, които са останали без необходимото</w:t>
            </w:r>
          </w:p>
          <w:p w14:paraId="2EC4F8BC" w14:textId="77777777" w:rsidR="00DE7D1A" w:rsidRDefault="00DB4CFA">
            <w:pPr>
              <w:pStyle w:val="a0"/>
              <w:spacing w:before="120" w:after="120"/>
              <w:ind w:left="-142"/>
              <w:contextualSpacing w:val="0"/>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образование.</w:t>
            </w:r>
          </w:p>
          <w:p w14:paraId="55871FA2" w14:textId="77777777" w:rsidR="00DE7D1A" w:rsidRDefault="0046026B">
            <w:pPr>
              <w:pStyle w:val="a0"/>
              <w:spacing w:before="120" w:after="120"/>
              <w:ind w:left="-142"/>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Работодателят е длъжен по време на стажуването и чиракуването да осигури обучение</w:t>
            </w:r>
          </w:p>
          <w:p w14:paraId="3BD573CD" w14:textId="77777777" w:rsidR="00DE7D1A" w:rsidRDefault="0046026B">
            <w:pPr>
              <w:pStyle w:val="a0"/>
              <w:spacing w:before="120" w:after="120"/>
              <w:ind w:left="-142"/>
              <w:contextualSpacing w:val="0"/>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на наетото лице на конкретното работно място от наставник.</w:t>
            </w:r>
          </w:p>
          <w:p w14:paraId="06C8532C"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Всеки наставник отговаря за минимум 1 и максимум 7 души – представители на целевата група.</w:t>
            </w:r>
          </w:p>
          <w:p w14:paraId="4E2B6E57" w14:textId="77777777" w:rsidR="00DE7D1A"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Разходите за възнаграждение на наставници, определени от работодателя, които ще подпомагат новоназначените работници и служители са за период </w:t>
            </w:r>
            <w:r>
              <w:rPr>
                <w:rFonts w:ascii="Times New Roman" w:eastAsia="Times New Roman" w:hAnsi="Times New Roman" w:cs="Times New Roman"/>
                <w:b/>
                <w:sz w:val="24"/>
                <w:szCs w:val="24"/>
                <w:lang w:eastAsia="bg-BG"/>
              </w:rPr>
              <w:t>до 3 месеца</w:t>
            </w:r>
            <w:r>
              <w:rPr>
                <w:rFonts w:ascii="Times New Roman" w:eastAsia="Times New Roman" w:hAnsi="Times New Roman" w:cs="Times New Roman"/>
                <w:sz w:val="24"/>
                <w:szCs w:val="24"/>
                <w:lang w:eastAsia="bg-BG"/>
              </w:rPr>
              <w:t xml:space="preserve">. Месечното възнаграждение на наставниците е в размер на до 1⁄2 от минималната работна заплата, установена за страната. </w:t>
            </w:r>
          </w:p>
          <w:p w14:paraId="7334D1A6" w14:textId="77777777" w:rsidR="00DE7D1A" w:rsidRDefault="0046026B">
            <w:pPr>
              <w:pStyle w:val="a0"/>
              <w:spacing w:before="120" w:after="120"/>
              <w:ind w:left="0"/>
              <w:jc w:val="both"/>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Наставникът трябва да отче</w:t>
            </w:r>
            <w:r>
              <w:rPr>
                <w:rFonts w:ascii="Times New Roman" w:eastAsia="Times New Roman" w:hAnsi="Times New Roman" w:cs="Times New Roman"/>
                <w:sz w:val="24"/>
                <w:szCs w:val="24"/>
                <w:lang w:eastAsia="bg-BG"/>
              </w:rPr>
              <w:t xml:space="preserve">те минимум 40 часа месечно като </w:t>
            </w:r>
            <w:r w:rsidRPr="0046026B">
              <w:rPr>
                <w:rFonts w:ascii="Times New Roman" w:eastAsia="Times New Roman" w:hAnsi="Times New Roman" w:cs="Times New Roman"/>
                <w:sz w:val="24"/>
                <w:szCs w:val="24"/>
                <w:lang w:eastAsia="bg-BG"/>
              </w:rPr>
              <w:t>наставник, за да получи съответно възнаграждение за това.</w:t>
            </w:r>
          </w:p>
          <w:p w14:paraId="4C5BC989" w14:textId="77777777" w:rsidR="00DE7D1A" w:rsidRDefault="00B27CD4">
            <w:pPr>
              <w:pStyle w:val="a0"/>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Наставникът следва да бъде лице от същото предприятие. Отношенията между работодателя и наставника се уреждат с нов </w:t>
            </w:r>
            <w:proofErr w:type="spellStart"/>
            <w:r>
              <w:rPr>
                <w:rFonts w:ascii="Times New Roman" w:eastAsia="Times New Roman" w:hAnsi="Times New Roman" w:cs="Times New Roman"/>
                <w:sz w:val="24"/>
                <w:szCs w:val="24"/>
                <w:lang w:eastAsia="bg-BG"/>
              </w:rPr>
              <w:t>трудовдоговор</w:t>
            </w:r>
            <w:proofErr w:type="spellEnd"/>
            <w:r>
              <w:rPr>
                <w:rFonts w:ascii="Times New Roman" w:eastAsia="Times New Roman" w:hAnsi="Times New Roman" w:cs="Times New Roman"/>
                <w:sz w:val="24"/>
                <w:szCs w:val="24"/>
                <w:lang w:eastAsia="bg-BG"/>
              </w:rPr>
              <w:t>/заповед или допълнително споразумение към съществуващ такъв, в което се определят разпределението на работното време и всички други условия за изпълнение на наставничеството.</w:t>
            </w:r>
          </w:p>
          <w:p w14:paraId="784F6CE6"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осигуряване на качествена подкрепа, наставникът трябва да отговаря на определени условия: функциите по длъжностна характеристика на наставника са същите или сходни на функциите на обучаемото лице.</w:t>
            </w:r>
          </w:p>
          <w:p w14:paraId="1A11B57C" w14:textId="77777777" w:rsidR="0046026B" w:rsidRPr="0046026B" w:rsidRDefault="0046026B" w:rsidP="00FD3DF2">
            <w:pPr>
              <w:pStyle w:val="a0"/>
              <w:spacing w:before="120" w:after="120"/>
              <w:ind w:left="0"/>
              <w:jc w:val="both"/>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 xml:space="preserve">Стажуването и обучението по време на работа (чиракуване) се съобразяват </w:t>
            </w:r>
            <w:proofErr w:type="spellStart"/>
            <w:r w:rsidRPr="0046026B">
              <w:rPr>
                <w:rFonts w:ascii="Times New Roman" w:eastAsia="Times New Roman" w:hAnsi="Times New Roman" w:cs="Times New Roman"/>
                <w:sz w:val="24"/>
                <w:szCs w:val="24"/>
                <w:lang w:eastAsia="bg-BG"/>
              </w:rPr>
              <w:t>сизискванията</w:t>
            </w:r>
            <w:proofErr w:type="spellEnd"/>
            <w:r w:rsidRPr="0046026B">
              <w:rPr>
                <w:rFonts w:ascii="Times New Roman" w:eastAsia="Times New Roman" w:hAnsi="Times New Roman" w:cs="Times New Roman"/>
                <w:sz w:val="24"/>
                <w:szCs w:val="24"/>
                <w:lang w:eastAsia="bg-BG"/>
              </w:rPr>
              <w:t xml:space="preserve"> на Кодекса на труда – по отношение на изискванията за договора с условия</w:t>
            </w:r>
          </w:p>
          <w:p w14:paraId="346C0853" w14:textId="77777777" w:rsidR="0046026B" w:rsidRPr="0046026B" w:rsidRDefault="0046026B" w:rsidP="00D25169">
            <w:pPr>
              <w:pStyle w:val="a0"/>
              <w:spacing w:before="120" w:after="120"/>
              <w:ind w:left="0"/>
              <w:jc w:val="both"/>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за стажуване по чл. 233а, чл. 233б и чл. 233в и по отношение на договора с условия за</w:t>
            </w:r>
          </w:p>
          <w:p w14:paraId="2F882D6C" w14:textId="77777777" w:rsidR="0046026B" w:rsidRPr="0046026B" w:rsidRDefault="0046026B" w:rsidP="00920DBA">
            <w:pPr>
              <w:pStyle w:val="a0"/>
              <w:spacing w:before="120" w:after="120"/>
              <w:ind w:left="0"/>
              <w:jc w:val="both"/>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обучение по време на работа съгласно чл. 230, чл. 231, чл. 232 и чл. 233. За стажуващите</w:t>
            </w:r>
          </w:p>
          <w:p w14:paraId="164356D6" w14:textId="77777777" w:rsidR="0046026B" w:rsidRPr="0046026B" w:rsidRDefault="0046026B">
            <w:pPr>
              <w:pStyle w:val="a0"/>
              <w:spacing w:before="120" w:after="120"/>
              <w:ind w:left="0"/>
              <w:jc w:val="both"/>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работодателят е длъжен да определи наставник (не е задължително да планира средства</w:t>
            </w:r>
          </w:p>
          <w:p w14:paraId="306717F9" w14:textId="77777777" w:rsidR="0046026B" w:rsidRPr="0046026B" w:rsidRDefault="0046026B">
            <w:pPr>
              <w:pStyle w:val="a0"/>
              <w:spacing w:before="120" w:after="120"/>
              <w:ind w:left="0"/>
              <w:jc w:val="both"/>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t xml:space="preserve">за него от бюджета на проекта). Наставниците </w:t>
            </w:r>
            <w:r w:rsidR="00FD3DF2">
              <w:rPr>
                <w:rFonts w:ascii="Times New Roman" w:eastAsia="Times New Roman" w:hAnsi="Times New Roman" w:cs="Times New Roman"/>
                <w:sz w:val="24"/>
                <w:szCs w:val="24"/>
                <w:lang w:eastAsia="bg-BG"/>
              </w:rPr>
              <w:t>при обучение по време на работа</w:t>
            </w:r>
            <w:r w:rsidRPr="0046026B">
              <w:rPr>
                <w:rFonts w:ascii="Times New Roman" w:eastAsia="Times New Roman" w:hAnsi="Times New Roman" w:cs="Times New Roman"/>
                <w:sz w:val="24"/>
                <w:szCs w:val="24"/>
                <w:lang w:eastAsia="bg-BG"/>
              </w:rPr>
              <w:t>(чиракуване) не са задължителни по КТ, но могат да бъдат предвидени и включени в</w:t>
            </w:r>
          </w:p>
          <w:p w14:paraId="7E0F8930" w14:textId="77777777" w:rsidR="0046026B" w:rsidRDefault="0046026B">
            <w:pPr>
              <w:pStyle w:val="a0"/>
              <w:spacing w:before="120" w:after="120"/>
              <w:ind w:left="0"/>
              <w:contextualSpacing w:val="0"/>
              <w:jc w:val="both"/>
              <w:rPr>
                <w:rFonts w:ascii="Times New Roman" w:eastAsia="Times New Roman" w:hAnsi="Times New Roman" w:cs="Times New Roman"/>
                <w:sz w:val="24"/>
                <w:szCs w:val="24"/>
                <w:lang w:eastAsia="bg-BG"/>
              </w:rPr>
            </w:pPr>
            <w:r w:rsidRPr="0046026B">
              <w:rPr>
                <w:rFonts w:ascii="Times New Roman" w:eastAsia="Times New Roman" w:hAnsi="Times New Roman" w:cs="Times New Roman"/>
                <w:sz w:val="24"/>
                <w:szCs w:val="24"/>
                <w:lang w:eastAsia="bg-BG"/>
              </w:rPr>
              <w:lastRenderedPageBreak/>
              <w:t>бюджета на проекта.</w:t>
            </w:r>
          </w:p>
          <w:p w14:paraId="350EFF8F" w14:textId="77777777" w:rsidR="009C0430" w:rsidRDefault="00B27CD4">
            <w:pPr>
              <w:pStyle w:val="a0"/>
              <w:spacing w:before="120" w:after="120"/>
              <w:ind w:left="0"/>
              <w:contextualSpacing w:val="0"/>
              <w:jc w:val="both"/>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Включване в заетост </w:t>
            </w:r>
          </w:p>
          <w:p w14:paraId="1B6ED403" w14:textId="77777777" w:rsidR="004663A5"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за възнаграждения за всяко лице, включено в заетост при работодател, се покриват за наемане на длъжности, попадащи в обхвата на единични групи професии от 2 до 9 клас от НКПД 2011 г.</w:t>
            </w:r>
          </w:p>
          <w:p w14:paraId="05C84060" w14:textId="77777777" w:rsidR="00DE7D1A" w:rsidRDefault="00B27CD4">
            <w:pPr>
              <w:pStyle w:val="a0"/>
              <w:spacing w:before="120" w:after="120"/>
              <w:ind w:left="0"/>
              <w:contextualSpacing w:val="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 xml:space="preserve">Включват осигуряване на </w:t>
            </w:r>
            <w:r>
              <w:rPr>
                <w:rFonts w:ascii="Times New Roman" w:eastAsia="Times New Roman" w:hAnsi="Times New Roman" w:cs="Times New Roman"/>
                <w:b/>
                <w:sz w:val="24"/>
                <w:szCs w:val="24"/>
                <w:lang w:eastAsia="bg-BG"/>
              </w:rPr>
              <w:t>субсидии за заетост до 6 месеца</w:t>
            </w:r>
            <w:r w:rsidR="00DE7D1A">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sz w:val="24"/>
                <w:szCs w:val="24"/>
                <w:lang w:eastAsia="bg-BG"/>
              </w:rPr>
              <w:t xml:space="preserve">или до 12 месеца за силно уязвимите групи на пазара на труда (продължително безработни - регистрирани в дирекция „Бюро по труда“ повече от 12 месеца; хора над 54 г. възраст; хора с трайни увреждания, безработни/неактивни лица с ниско образование /под средното/, вкл. и без никаква професия, безработни/неактивни лица от ромски произход)при покриване на 100 % от сумата на МОД за съответната длъжност и всички дължими вноски за сметка на </w:t>
            </w:r>
            <w:proofErr w:type="spellStart"/>
            <w:r>
              <w:rPr>
                <w:rFonts w:ascii="Times New Roman" w:eastAsia="Times New Roman" w:hAnsi="Times New Roman" w:cs="Times New Roman"/>
                <w:sz w:val="24"/>
                <w:szCs w:val="24"/>
                <w:lang w:eastAsia="bg-BG"/>
              </w:rPr>
              <w:t>работодателите,съгласно</w:t>
            </w:r>
            <w:proofErr w:type="spellEnd"/>
            <w:r>
              <w:rPr>
                <w:rFonts w:ascii="Times New Roman" w:eastAsia="Times New Roman" w:hAnsi="Times New Roman" w:cs="Times New Roman"/>
                <w:sz w:val="24"/>
                <w:szCs w:val="24"/>
                <w:lang w:eastAsia="bg-BG"/>
              </w:rPr>
              <w:t xml:space="preserve"> ЗБДОО и ЗБ на НЗОК,  за съответната година и ТЗПБ в размер на 0.4%, както и възнаграждения за основен платен годишен отпуск по реда на чл. 155 или чл. 319 от КТ, разходи за обезщетения, съгласно чл. 222, ал. 3 от КТ при прекратяване на трудовото правоотношение и възнаграждения по реда на чл. 40, ал. 5 от КСО за първите 3 работни дни от временната неработоспособност. </w:t>
            </w:r>
          </w:p>
          <w:p w14:paraId="6E5A48B6" w14:textId="77777777" w:rsidR="009C0430" w:rsidRDefault="00DB4CFA" w:rsidP="003936F8">
            <w:pPr>
              <w:spacing w:before="120" w:after="120"/>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При необходимост, безработните лица от целевата</w:t>
            </w:r>
            <w:r w:rsidR="004663A5" w:rsidRPr="004663A5">
              <w:rPr>
                <w:rFonts w:ascii="Times New Roman" w:eastAsia="Times New Roman" w:hAnsi="Times New Roman" w:cs="Times New Roman"/>
                <w:sz w:val="24"/>
                <w:szCs w:val="24"/>
                <w:lang w:eastAsia="bg-BG"/>
              </w:rPr>
              <w:t xml:space="preserve"> група по процедурата, могат </w:t>
            </w:r>
            <w:proofErr w:type="spellStart"/>
            <w:r w:rsidR="004663A5" w:rsidRPr="004663A5">
              <w:rPr>
                <w:rFonts w:ascii="Times New Roman" w:eastAsia="Times New Roman" w:hAnsi="Times New Roman" w:cs="Times New Roman"/>
                <w:sz w:val="24"/>
                <w:szCs w:val="24"/>
                <w:lang w:eastAsia="bg-BG"/>
              </w:rPr>
              <w:t>да</w:t>
            </w:r>
            <w:r w:rsidRPr="00DB4CFA">
              <w:rPr>
                <w:rFonts w:ascii="Times New Roman" w:eastAsia="Times New Roman" w:hAnsi="Times New Roman" w:cs="Times New Roman"/>
                <w:sz w:val="24"/>
                <w:szCs w:val="24"/>
                <w:lang w:eastAsia="bg-BG"/>
              </w:rPr>
              <w:t>преминат</w:t>
            </w:r>
            <w:proofErr w:type="spellEnd"/>
            <w:r w:rsidRPr="00DB4CFA">
              <w:rPr>
                <w:rFonts w:ascii="Times New Roman" w:eastAsia="Times New Roman" w:hAnsi="Times New Roman" w:cs="Times New Roman"/>
                <w:sz w:val="24"/>
                <w:szCs w:val="24"/>
                <w:lang w:eastAsia="bg-BG"/>
              </w:rPr>
              <w:t xml:space="preserve"> курс за придобиване на професи</w:t>
            </w:r>
            <w:r w:rsidR="004663A5" w:rsidRPr="004663A5">
              <w:rPr>
                <w:rFonts w:ascii="Times New Roman" w:eastAsia="Times New Roman" w:hAnsi="Times New Roman" w:cs="Times New Roman"/>
                <w:sz w:val="24"/>
                <w:szCs w:val="24"/>
                <w:lang w:eastAsia="bg-BG"/>
              </w:rPr>
              <w:t xml:space="preserve">онална квалификация или </w:t>
            </w:r>
            <w:proofErr w:type="spellStart"/>
            <w:r w:rsidR="004663A5" w:rsidRPr="004663A5">
              <w:rPr>
                <w:rFonts w:ascii="Times New Roman" w:eastAsia="Times New Roman" w:hAnsi="Times New Roman" w:cs="Times New Roman"/>
                <w:sz w:val="24"/>
                <w:szCs w:val="24"/>
                <w:lang w:eastAsia="bg-BG"/>
              </w:rPr>
              <w:t>ключова</w:t>
            </w:r>
            <w:r w:rsidRPr="00DB4CFA">
              <w:rPr>
                <w:rFonts w:ascii="Times New Roman" w:eastAsia="Times New Roman" w:hAnsi="Times New Roman" w:cs="Times New Roman"/>
                <w:sz w:val="24"/>
                <w:szCs w:val="24"/>
                <w:lang w:eastAsia="bg-BG"/>
              </w:rPr>
              <w:t>компетентност</w:t>
            </w:r>
            <w:proofErr w:type="spellEnd"/>
            <w:r w:rsidRPr="00DB4CFA">
              <w:rPr>
                <w:rFonts w:ascii="Times New Roman" w:eastAsia="Times New Roman" w:hAnsi="Times New Roman" w:cs="Times New Roman"/>
                <w:sz w:val="24"/>
                <w:szCs w:val="24"/>
                <w:lang w:eastAsia="bg-BG"/>
              </w:rPr>
              <w:t>, за да удовлетворят конкретните нужди на работодателската организация.</w:t>
            </w:r>
          </w:p>
          <w:p w14:paraId="18A463E8" w14:textId="77777777" w:rsidR="00DE7D1A" w:rsidRDefault="00DB4CFA">
            <w:pPr>
              <w:pStyle w:val="a0"/>
              <w:numPr>
                <w:ilvl w:val="0"/>
                <w:numId w:val="6"/>
              </w:numPr>
              <w:rPr>
                <w:b/>
                <w:bCs/>
                <w:color w:val="5B9BD5" w:themeColor="accent1"/>
                <w:lang w:eastAsia="bg-BG"/>
              </w:rPr>
            </w:pPr>
            <w:r w:rsidRPr="00DB4CFA">
              <w:rPr>
                <w:rFonts w:ascii="Times New Roman" w:eastAsia="Times New Roman" w:hAnsi="Times New Roman" w:cs="Times New Roman"/>
                <w:b/>
                <w:sz w:val="24"/>
                <w:szCs w:val="24"/>
                <w:lang w:eastAsia="bg-BG"/>
              </w:rPr>
              <w:t>Направление „Подобряване достъпа до образование“:</w:t>
            </w:r>
          </w:p>
          <w:p w14:paraId="7599836F" w14:textId="77777777" w:rsidR="00DE7D1A" w:rsidRDefault="00DB4CFA">
            <w:pPr>
              <w:pStyle w:val="a0"/>
              <w:numPr>
                <w:ilvl w:val="0"/>
                <w:numId w:val="7"/>
              </w:numPr>
              <w:rPr>
                <w:rFonts w:ascii="Times New Roman" w:hAnsi="Times New Roman" w:cs="Times New Roman"/>
                <w:sz w:val="24"/>
                <w:szCs w:val="24"/>
                <w:lang w:eastAsia="bg-BG"/>
              </w:rPr>
            </w:pPr>
            <w:r w:rsidRPr="00DB4CFA">
              <w:rPr>
                <w:rFonts w:ascii="Times New Roman" w:hAnsi="Times New Roman" w:cs="Times New Roman"/>
                <w:sz w:val="24"/>
                <w:szCs w:val="24"/>
                <w:lang w:eastAsia="bg-BG"/>
              </w:rPr>
              <w:t>Насочване към мерки за превенция на ранното отпадане от училище;</w:t>
            </w:r>
          </w:p>
          <w:p w14:paraId="1D543675" w14:textId="77777777" w:rsidR="00DE7D1A" w:rsidRDefault="00DB4CFA">
            <w:pPr>
              <w:pStyle w:val="a0"/>
              <w:numPr>
                <w:ilvl w:val="0"/>
                <w:numId w:val="7"/>
              </w:numPr>
              <w:spacing w:before="120" w:after="120"/>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 xml:space="preserve">Насочване към мерки за интеграция в образователната система на деца и младежи; </w:t>
            </w:r>
          </w:p>
          <w:p w14:paraId="42B9E72B" w14:textId="77777777" w:rsidR="00DE7D1A" w:rsidRDefault="00DB4CFA">
            <w:pPr>
              <w:pStyle w:val="a0"/>
              <w:numPr>
                <w:ilvl w:val="0"/>
                <w:numId w:val="7"/>
              </w:numPr>
              <w:spacing w:before="120" w:after="120"/>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Подобряване достъпа до образователни услуги за ранно детско развитие;</w:t>
            </w:r>
          </w:p>
          <w:p w14:paraId="70E62D17" w14:textId="77777777" w:rsidR="00DE7D1A" w:rsidRDefault="00DB4CFA">
            <w:pPr>
              <w:pStyle w:val="a0"/>
              <w:numPr>
                <w:ilvl w:val="0"/>
                <w:numId w:val="7"/>
              </w:numPr>
              <w:spacing w:before="120" w:after="120"/>
              <w:jc w:val="both"/>
              <w:rPr>
                <w:rFonts w:ascii="Times New Roman" w:eastAsia="Times New Roman" w:hAnsi="Times New Roman" w:cs="Times New Roman"/>
                <w:sz w:val="24"/>
                <w:szCs w:val="24"/>
                <w:lang w:eastAsia="bg-BG"/>
              </w:rPr>
            </w:pPr>
            <w:proofErr w:type="spellStart"/>
            <w:r w:rsidRPr="00DB4CFA">
              <w:rPr>
                <w:rFonts w:ascii="Times New Roman" w:eastAsia="Times New Roman" w:hAnsi="Times New Roman" w:cs="Times New Roman"/>
                <w:sz w:val="24"/>
                <w:szCs w:val="24"/>
                <w:lang w:eastAsia="bg-BG"/>
              </w:rPr>
              <w:t>Реинтегриране</w:t>
            </w:r>
            <w:proofErr w:type="spellEnd"/>
            <w:r w:rsidRPr="00DB4CFA">
              <w:rPr>
                <w:rFonts w:ascii="Times New Roman" w:eastAsia="Times New Roman" w:hAnsi="Times New Roman" w:cs="Times New Roman"/>
                <w:sz w:val="24"/>
                <w:szCs w:val="24"/>
                <w:lang w:eastAsia="bg-BG"/>
              </w:rPr>
              <w:t xml:space="preserve"> в образователната система на младежи до 18 г., отпаднали от училище;</w:t>
            </w:r>
          </w:p>
          <w:p w14:paraId="495CCEB4" w14:textId="77777777" w:rsidR="00DE7D1A" w:rsidRDefault="00DB4CFA">
            <w:pPr>
              <w:pStyle w:val="a0"/>
              <w:numPr>
                <w:ilvl w:val="0"/>
                <w:numId w:val="7"/>
              </w:numPr>
              <w:spacing w:before="120" w:after="120"/>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Насърчаване участието на родителите в образователния процес;</w:t>
            </w:r>
          </w:p>
          <w:p w14:paraId="0872B945" w14:textId="77777777" w:rsidR="00DE7D1A" w:rsidRDefault="00DB4CFA">
            <w:pPr>
              <w:pStyle w:val="a0"/>
              <w:numPr>
                <w:ilvl w:val="0"/>
                <w:numId w:val="7"/>
              </w:numPr>
              <w:spacing w:before="120" w:after="120"/>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Работа с родителите от етническите малцинства, които възпрепятстват децата си от редовно посещаване на учебни занятия;</w:t>
            </w:r>
          </w:p>
          <w:p w14:paraId="343A326E" w14:textId="77777777" w:rsidR="00DE7D1A" w:rsidRDefault="00DB4CFA">
            <w:pPr>
              <w:pStyle w:val="a0"/>
              <w:numPr>
                <w:ilvl w:val="0"/>
                <w:numId w:val="7"/>
              </w:numPr>
              <w:spacing w:before="120" w:after="120"/>
              <w:jc w:val="both"/>
              <w:rPr>
                <w:rFonts w:ascii="Times New Roman" w:eastAsia="Times New Roman" w:hAnsi="Times New Roman" w:cs="Times New Roman"/>
                <w:sz w:val="24"/>
                <w:szCs w:val="24"/>
                <w:lang w:val="en-US" w:eastAsia="bg-BG"/>
              </w:rPr>
            </w:pPr>
            <w:r w:rsidRPr="00DB4CFA">
              <w:rPr>
                <w:rFonts w:ascii="Times New Roman" w:eastAsia="Times New Roman" w:hAnsi="Times New Roman" w:cs="Times New Roman"/>
                <w:sz w:val="24"/>
                <w:szCs w:val="24"/>
                <w:lang w:eastAsia="bg-BG"/>
              </w:rPr>
              <w:t>Работа с родители без разлика от етническия им произход за разясняване ползите от образователната интеграция и приемането на различието;</w:t>
            </w:r>
          </w:p>
          <w:p w14:paraId="37AD7FCD" w14:textId="77777777" w:rsidR="009C0430" w:rsidRPr="004663A5" w:rsidRDefault="00DB4CFA">
            <w:pPr>
              <w:pStyle w:val="a0"/>
              <w:spacing w:before="120" w:after="120" w:line="259" w:lineRule="auto"/>
              <w:ind w:left="0"/>
              <w:contextualSpacing w:val="0"/>
              <w:jc w:val="both"/>
              <w:rPr>
                <w:rFonts w:ascii="Times New Roman" w:eastAsia="Times New Roman" w:hAnsi="Times New Roman" w:cs="Times New Roman"/>
                <w:b/>
                <w:sz w:val="24"/>
                <w:szCs w:val="24"/>
                <w:lang w:eastAsia="bg-BG"/>
              </w:rPr>
            </w:pPr>
            <w:r w:rsidRPr="00DB4CFA">
              <w:rPr>
                <w:rFonts w:ascii="Times New Roman" w:eastAsia="Times New Roman" w:hAnsi="Times New Roman" w:cs="Times New Roman"/>
                <w:b/>
                <w:sz w:val="24"/>
                <w:szCs w:val="24"/>
                <w:lang w:eastAsia="bg-BG"/>
              </w:rPr>
              <w:t xml:space="preserve">При планиране на дейности от това направление следва да се отчете </w:t>
            </w:r>
            <w:proofErr w:type="spellStart"/>
            <w:r w:rsidRPr="00DB4CFA">
              <w:rPr>
                <w:rFonts w:ascii="Times New Roman" w:eastAsia="Times New Roman" w:hAnsi="Times New Roman" w:cs="Times New Roman"/>
                <w:b/>
                <w:sz w:val="24"/>
                <w:szCs w:val="24"/>
                <w:lang w:eastAsia="bg-BG"/>
              </w:rPr>
              <w:t>демаркацията</w:t>
            </w:r>
            <w:proofErr w:type="spellEnd"/>
            <w:r w:rsidRPr="00DB4CFA">
              <w:rPr>
                <w:rFonts w:ascii="Times New Roman" w:eastAsia="Times New Roman" w:hAnsi="Times New Roman" w:cs="Times New Roman"/>
                <w:b/>
                <w:sz w:val="24"/>
                <w:szCs w:val="24"/>
                <w:lang w:eastAsia="bg-BG"/>
              </w:rPr>
              <w:t xml:space="preserve"> между ОПРЧР и ОПНОИР, посочена в т. 6 по-горе.</w:t>
            </w:r>
          </w:p>
          <w:p w14:paraId="160CAD26" w14:textId="77777777" w:rsidR="009C0430" w:rsidRDefault="00B27CD4">
            <w:pPr>
              <w:pStyle w:val="a0"/>
              <w:numPr>
                <w:ilvl w:val="0"/>
                <w:numId w:val="6"/>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Направление „Подобряване достъпа до социални и здравни услуги“:</w:t>
            </w:r>
          </w:p>
          <w:p w14:paraId="7F5B3DD4" w14:textId="77777777" w:rsidR="009C0430" w:rsidRDefault="00B27CD4">
            <w:pPr>
              <w:pStyle w:val="a0"/>
              <w:numPr>
                <w:ilvl w:val="0"/>
                <w:numId w:val="11"/>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интегрирани междусекторни услуги, съгласно специфичните особености на целевата група;</w:t>
            </w:r>
          </w:p>
          <w:p w14:paraId="6A5FE29A" w14:textId="77777777" w:rsidR="009C0430" w:rsidRDefault="00B27CD4">
            <w:pPr>
              <w:pStyle w:val="a0"/>
              <w:numPr>
                <w:ilvl w:val="0"/>
                <w:numId w:val="11"/>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предоставяне на индивидуални консултации и социално-здравна медиация на представителите на целевите групи;</w:t>
            </w:r>
          </w:p>
          <w:p w14:paraId="7B85200F" w14:textId="77777777" w:rsidR="009C0430" w:rsidRDefault="00B27CD4">
            <w:pPr>
              <w:pStyle w:val="a0"/>
              <w:numPr>
                <w:ilvl w:val="0"/>
                <w:numId w:val="11"/>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повишаване информираността относно социалните и здравните им права;</w:t>
            </w:r>
          </w:p>
          <w:p w14:paraId="3D2BD1CA" w14:textId="77777777" w:rsidR="009C0430" w:rsidRDefault="00B27CD4">
            <w:pPr>
              <w:pStyle w:val="a0"/>
              <w:numPr>
                <w:ilvl w:val="0"/>
                <w:numId w:val="11"/>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 xml:space="preserve">насърчаване семейното планиране и отговорното </w:t>
            </w:r>
            <w:proofErr w:type="spellStart"/>
            <w:r>
              <w:rPr>
                <w:rFonts w:ascii="Times New Roman" w:eastAsia="Times New Roman" w:hAnsi="Times New Roman" w:cs="Times New Roman"/>
                <w:sz w:val="24"/>
                <w:szCs w:val="24"/>
                <w:lang w:eastAsia="bg-BG"/>
              </w:rPr>
              <w:t>родителство</w:t>
            </w:r>
            <w:proofErr w:type="spellEnd"/>
            <w:r>
              <w:rPr>
                <w:rFonts w:ascii="Times New Roman" w:eastAsia="Times New Roman" w:hAnsi="Times New Roman" w:cs="Times New Roman"/>
                <w:sz w:val="24"/>
                <w:szCs w:val="24"/>
                <w:lang w:eastAsia="bg-BG"/>
              </w:rPr>
              <w:t xml:space="preserve"> - напр. консултиране и подкрепа с цел повишаване на родителските умения, подкрепа на рискови бременни жени, включително и непълнолетни с цел успешно и плавно преминаване на кризисните ситуации, свързани с промените в живота на младите майки, превенция на изоставянето, насърчаване на отговорното </w:t>
            </w:r>
            <w:proofErr w:type="spellStart"/>
            <w:r>
              <w:rPr>
                <w:rFonts w:ascii="Times New Roman" w:eastAsia="Times New Roman" w:hAnsi="Times New Roman" w:cs="Times New Roman"/>
                <w:sz w:val="24"/>
                <w:szCs w:val="24"/>
                <w:lang w:eastAsia="bg-BG"/>
              </w:rPr>
              <w:t>родителство</w:t>
            </w:r>
            <w:proofErr w:type="spellEnd"/>
            <w:r>
              <w:rPr>
                <w:rFonts w:ascii="Times New Roman" w:eastAsia="Times New Roman" w:hAnsi="Times New Roman" w:cs="Times New Roman"/>
                <w:sz w:val="24"/>
                <w:szCs w:val="24"/>
                <w:lang w:eastAsia="bg-BG"/>
              </w:rPr>
              <w:t xml:space="preserve"> и др.;</w:t>
            </w:r>
          </w:p>
          <w:p w14:paraId="551C136A" w14:textId="77777777" w:rsidR="00DE7D1A" w:rsidRPr="00DE7D1A" w:rsidRDefault="00B27CD4">
            <w:pPr>
              <w:pStyle w:val="a0"/>
              <w:numPr>
                <w:ilvl w:val="0"/>
                <w:numId w:val="11"/>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повишаване здравната култура</w:t>
            </w:r>
            <w:r w:rsidR="00DE7D1A">
              <w:rPr>
                <w:rFonts w:ascii="Times New Roman" w:eastAsia="Times New Roman" w:hAnsi="Times New Roman" w:cs="Times New Roman"/>
                <w:sz w:val="24"/>
                <w:szCs w:val="24"/>
                <w:lang w:eastAsia="bg-BG"/>
              </w:rPr>
              <w:t>;</w:t>
            </w:r>
          </w:p>
          <w:p w14:paraId="3121ABF7" w14:textId="77777777" w:rsidR="009C0430" w:rsidRDefault="00DE7D1A">
            <w:pPr>
              <w:pStyle w:val="a0"/>
              <w:numPr>
                <w:ilvl w:val="0"/>
                <w:numId w:val="11"/>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lastRenderedPageBreak/>
              <w:t xml:space="preserve">мерки, насочени към неразпространение и превенция на </w:t>
            </w:r>
            <w:r>
              <w:rPr>
                <w:rFonts w:ascii="Times New Roman" w:eastAsia="Times New Roman" w:hAnsi="Times New Roman" w:cs="Times New Roman"/>
                <w:sz w:val="24"/>
                <w:szCs w:val="24"/>
                <w:lang w:val="en-US" w:eastAsia="bg-BG"/>
              </w:rPr>
              <w:t>SARS-CoV2 (COVID-19).</w:t>
            </w:r>
          </w:p>
          <w:p w14:paraId="73CEF021" w14:textId="77777777" w:rsidR="009C0430" w:rsidRDefault="009C0430">
            <w:pPr>
              <w:pStyle w:val="a0"/>
              <w:spacing w:before="120" w:after="120"/>
              <w:jc w:val="both"/>
              <w:rPr>
                <w:rFonts w:ascii="Times New Roman" w:eastAsia="Times New Roman" w:hAnsi="Times New Roman" w:cs="Times New Roman"/>
                <w:b/>
                <w:sz w:val="24"/>
                <w:szCs w:val="24"/>
                <w:lang w:eastAsia="bg-BG"/>
              </w:rPr>
            </w:pPr>
          </w:p>
          <w:p w14:paraId="64DF142D" w14:textId="77777777" w:rsidR="009C0430" w:rsidRDefault="00B27CD4">
            <w:pPr>
              <w:pStyle w:val="a0"/>
              <w:spacing w:line="360" w:lineRule="auto"/>
              <w:ind w:left="0"/>
              <w:contextualSpacing w:val="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Включването на дейност/и от това направление в проектите е задължително. </w:t>
            </w:r>
          </w:p>
          <w:p w14:paraId="5D15FBA8" w14:textId="77777777" w:rsidR="009C0430" w:rsidRDefault="00B27CD4">
            <w:pPr>
              <w:pStyle w:val="a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При предоставянето на междусекторни услуги, те следва да са ориентирани към самия потребител и към неговите променящи се социални и здравни потребности, след извършена оценка на потребностите от социална услуга.</w:t>
            </w:r>
          </w:p>
          <w:p w14:paraId="2F6438CB" w14:textId="77777777" w:rsidR="009C0430" w:rsidRDefault="009C0430">
            <w:pPr>
              <w:ind w:left="357"/>
              <w:jc w:val="both"/>
              <w:rPr>
                <w:rFonts w:ascii="Times New Roman" w:eastAsia="Times New Roman" w:hAnsi="Times New Roman" w:cs="Times New Roman"/>
                <w:b/>
                <w:sz w:val="24"/>
                <w:szCs w:val="24"/>
                <w:lang w:eastAsia="bg-BG"/>
              </w:rPr>
            </w:pPr>
          </w:p>
          <w:p w14:paraId="32E398A4" w14:textId="77777777" w:rsidR="009C0430" w:rsidRDefault="00B27CD4">
            <w:pPr>
              <w:pStyle w:val="a0"/>
              <w:numPr>
                <w:ilvl w:val="0"/>
                <w:numId w:val="6"/>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Направление „Развитие на местните общности и преодоляване на негативните стереотипи“:</w:t>
            </w:r>
          </w:p>
          <w:p w14:paraId="60639DB3" w14:textId="77777777" w:rsidR="009C0430" w:rsidRDefault="00B27CD4">
            <w:pPr>
              <w:pStyle w:val="a0"/>
              <w:numPr>
                <w:ilvl w:val="0"/>
                <w:numId w:val="12"/>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планиране, управление, наблюдение и оценка на инициативи за социално-икономическа интеграция на социално изключени хора, групи и маргинализирани общности и за общностно развитие;</w:t>
            </w:r>
          </w:p>
          <w:p w14:paraId="68A5B8DD" w14:textId="77777777" w:rsidR="009C0430" w:rsidRDefault="00B27CD4">
            <w:pPr>
              <w:pStyle w:val="a0"/>
              <w:numPr>
                <w:ilvl w:val="0"/>
                <w:numId w:val="12"/>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общностни дейности за промяна на практики, имащи негативно влияние върху социалното включване;</w:t>
            </w:r>
          </w:p>
          <w:p w14:paraId="38B1D226" w14:textId="77777777" w:rsidR="009C0430" w:rsidRDefault="00B27CD4">
            <w:pPr>
              <w:pStyle w:val="a0"/>
              <w:numPr>
                <w:ilvl w:val="0"/>
                <w:numId w:val="12"/>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подкрепа за включване на целевите групи в процесите на формиране и изпълнение на местни политики;</w:t>
            </w:r>
          </w:p>
          <w:p w14:paraId="18D7C9CF" w14:textId="77777777" w:rsidR="009C0430" w:rsidRDefault="00B27CD4">
            <w:pPr>
              <w:pStyle w:val="a0"/>
              <w:numPr>
                <w:ilvl w:val="0"/>
                <w:numId w:val="12"/>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инициативи за преодоляване на стереотипи, в т.ч. организиране на публични събития и дискусии с представители на маргинализираните общности, местната общност, заинтересованите страни и медиите за постигане на положителна промяна на обществените нагласи към проблемите на най-маргинализираните групи от </w:t>
            </w:r>
            <w:proofErr w:type="spellStart"/>
            <w:r>
              <w:rPr>
                <w:rFonts w:ascii="Times New Roman" w:eastAsia="Times New Roman" w:hAnsi="Times New Roman" w:cs="Times New Roman"/>
                <w:sz w:val="24"/>
                <w:szCs w:val="24"/>
                <w:lang w:eastAsia="bg-BG"/>
              </w:rPr>
              <w:t>сегрегираните</w:t>
            </w:r>
            <w:proofErr w:type="spellEnd"/>
            <w:r>
              <w:rPr>
                <w:rFonts w:ascii="Times New Roman" w:eastAsia="Times New Roman" w:hAnsi="Times New Roman" w:cs="Times New Roman"/>
                <w:sz w:val="24"/>
                <w:szCs w:val="24"/>
                <w:lang w:eastAsia="bg-BG"/>
              </w:rPr>
              <w:t xml:space="preserve"> райони и идентифициране на мерки за подобряване социалното им включване;;+</w:t>
            </w:r>
          </w:p>
          <w:p w14:paraId="2965C10C" w14:textId="77777777" w:rsidR="009C0430" w:rsidRDefault="00B27CD4">
            <w:pPr>
              <w:pStyle w:val="a0"/>
              <w:numPr>
                <w:ilvl w:val="0"/>
                <w:numId w:val="12"/>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инициативи за популяризиране на културната идентичност на етнически общности, вкл. в сферата на традиционните дейности и талантите (занаяти и изкуства);</w:t>
            </w:r>
          </w:p>
          <w:p w14:paraId="3FABC1B3" w14:textId="77777777" w:rsidR="009C0430" w:rsidRDefault="00B27CD4">
            <w:pPr>
              <w:pStyle w:val="a0"/>
              <w:numPr>
                <w:ilvl w:val="0"/>
                <w:numId w:val="12"/>
              </w:num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подкрепа за провеждане на целенасочени превантивни дейности за недопускане и предотвратяване на противообществени прояви и правонарушения с оглед подобряване на обществения ред.</w:t>
            </w:r>
          </w:p>
          <w:p w14:paraId="3B32CFC9" w14:textId="77777777" w:rsidR="00DE7D1A" w:rsidRDefault="00DB4CFA">
            <w:pPr>
              <w:spacing w:before="120" w:after="120"/>
              <w:jc w:val="both"/>
              <w:rPr>
                <w:rFonts w:ascii="Times New Roman" w:eastAsia="Times New Roman" w:hAnsi="Times New Roman" w:cs="Times New Roman"/>
                <w:b/>
                <w:sz w:val="24"/>
                <w:szCs w:val="24"/>
                <w:lang w:eastAsia="bg-BG"/>
              </w:rPr>
            </w:pPr>
            <w:r w:rsidRPr="00DB4CFA">
              <w:rPr>
                <w:rFonts w:ascii="Times New Roman" w:eastAsia="Times New Roman" w:hAnsi="Times New Roman" w:cs="Times New Roman"/>
                <w:b/>
                <w:sz w:val="24"/>
                <w:szCs w:val="24"/>
                <w:lang w:eastAsia="bg-BG"/>
              </w:rPr>
              <w:t>За изпълнение на дейностите по направление 4 „Развитие на местните общности и преодоляване на негативните стереотипи” са допустими разходи в размер на не повече от 10% от общия размер на допустимите разходи по проекта.</w:t>
            </w:r>
          </w:p>
          <w:p w14:paraId="275A311B" w14:textId="77777777" w:rsidR="00DE7D1A" w:rsidRDefault="00DE7D1A">
            <w:pPr>
              <w:pStyle w:val="a0"/>
              <w:spacing w:before="120" w:after="120"/>
              <w:jc w:val="both"/>
              <w:rPr>
                <w:rFonts w:ascii="Times New Roman" w:eastAsia="Times New Roman" w:hAnsi="Times New Roman" w:cs="Times New Roman"/>
                <w:b/>
                <w:bCs/>
                <w:color w:val="5B9BD5" w:themeColor="accent1"/>
                <w:sz w:val="24"/>
                <w:szCs w:val="24"/>
                <w:lang w:eastAsia="bg-BG"/>
              </w:rPr>
            </w:pPr>
          </w:p>
          <w:p w14:paraId="4A1A9F8A" w14:textId="77777777" w:rsidR="00DE7D1A" w:rsidRDefault="00770E24">
            <w:pPr>
              <w:pStyle w:val="a0"/>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w:t>
            </w:r>
          </w:p>
          <w:p w14:paraId="7A675CF4"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Проектите трябва задължително да прилагат интегриран подход към нуждите на целевите групи. Това се изразява в съчетание на минимум две от горните направления дейности, </w:t>
            </w:r>
            <w:r>
              <w:rPr>
                <w:rFonts w:ascii="Times New Roman" w:eastAsia="Times New Roman" w:hAnsi="Times New Roman" w:cs="Times New Roman"/>
                <w:b/>
                <w:sz w:val="24"/>
                <w:szCs w:val="24"/>
                <w:u w:val="single"/>
                <w:lang w:eastAsia="bg-BG"/>
              </w:rPr>
              <w:t>като задължителен характер ще имат дейностите от направление 3</w:t>
            </w:r>
            <w:r>
              <w:rPr>
                <w:rFonts w:ascii="Times New Roman" w:eastAsia="Times New Roman" w:hAnsi="Times New Roman" w:cs="Times New Roman"/>
                <w:b/>
                <w:sz w:val="24"/>
                <w:szCs w:val="24"/>
                <w:lang w:eastAsia="bg-BG"/>
              </w:rPr>
              <w:t>.</w:t>
            </w:r>
          </w:p>
          <w:p w14:paraId="6A65E517"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Дейности за преодоляване на негативни стереотипи, недопускане на неравно третиране и подкрепа за реализацията на основните икономически, социални и културни права (направление 4), могат да бъдат допълващи при ясно обоснована необходимост, ако в местната общност е идентифицирано наличието на негативни стереотипи и проблеми.</w:t>
            </w:r>
          </w:p>
          <w:p w14:paraId="62128549"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Препоръчително е включването на направление 1 – подобряване достъпа до заетост.</w:t>
            </w:r>
          </w:p>
          <w:p w14:paraId="7B902ADE"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Не е задължително включването на всички изброени дейности от избраните </w:t>
            </w:r>
            <w:r>
              <w:rPr>
                <w:rFonts w:ascii="Times New Roman" w:eastAsia="Times New Roman" w:hAnsi="Times New Roman" w:cs="Times New Roman"/>
                <w:b/>
                <w:sz w:val="24"/>
                <w:szCs w:val="24"/>
                <w:lang w:eastAsia="bg-BG"/>
              </w:rPr>
              <w:lastRenderedPageBreak/>
              <w:t>направления, но избраните дейности следва да допринасят за решаване на проблемите и идентифицираните нужди на избраните целеви групи и да осигуряват интегриран подход към тях.</w:t>
            </w:r>
          </w:p>
          <w:p w14:paraId="64C96F52" w14:textId="77777777" w:rsidR="009C0430" w:rsidRDefault="00B27CD4">
            <w:pPr>
              <w:autoSpaceDE w:val="0"/>
              <w:autoSpaceDN w:val="0"/>
              <w:adjustRightInd w:val="0"/>
              <w:jc w:val="both"/>
              <w:rPr>
                <w:rFonts w:ascii="Times New Roman" w:eastAsia="Calibri" w:hAnsi="Times New Roman" w:cs="Times New Roman"/>
                <w:color w:val="000000"/>
                <w:sz w:val="24"/>
                <w:szCs w:val="24"/>
                <w:lang w:eastAsia="bg-BG"/>
              </w:rPr>
            </w:pPr>
            <w:r>
              <w:rPr>
                <w:rFonts w:ascii="Times New Roman" w:eastAsia="Calibri" w:hAnsi="Times New Roman" w:cs="Times New Roman"/>
                <w:color w:val="000000"/>
                <w:sz w:val="24"/>
                <w:szCs w:val="24"/>
                <w:lang w:eastAsia="bg-BG"/>
              </w:rPr>
              <w:t>Дейностите трябва да са в съответствие с Националната стратегия на Република България за интегриране на ромите и общинските планове за интеграция на ромите на общините</w:t>
            </w:r>
            <w:r w:rsidR="00DE7D1A">
              <w:rPr>
                <w:rFonts w:ascii="Times New Roman" w:eastAsia="Calibri" w:hAnsi="Times New Roman" w:cs="Times New Roman"/>
                <w:color w:val="000000"/>
                <w:sz w:val="24"/>
                <w:szCs w:val="24"/>
                <w:lang w:val="en-US" w:eastAsia="bg-BG"/>
              </w:rPr>
              <w:t xml:space="preserve"> </w:t>
            </w:r>
            <w:r>
              <w:rPr>
                <w:rFonts w:ascii="Times New Roman" w:eastAsia="Calibri" w:hAnsi="Times New Roman" w:cs="Times New Roman"/>
                <w:color w:val="000000"/>
                <w:sz w:val="24"/>
                <w:szCs w:val="24"/>
                <w:lang w:eastAsia="bg-BG"/>
              </w:rPr>
              <w:t>Мъглиж, Казанлък, Гурково.</w:t>
            </w:r>
          </w:p>
          <w:p w14:paraId="1EC0938E"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Всяка една дейност трябва да се опише подробно във формуляра за кандидатстване.</w:t>
            </w:r>
          </w:p>
          <w:p w14:paraId="5CE95E3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Всички дейности следва да се извършат на територията на МИГ "Мъглиж, Казанлък, Гурково".</w:t>
            </w:r>
          </w:p>
        </w:tc>
      </w:tr>
      <w:tr w:rsidR="004663A5" w14:paraId="6654ABB8" w14:textId="77777777">
        <w:tc>
          <w:tcPr>
            <w:tcW w:w="9496" w:type="dxa"/>
          </w:tcPr>
          <w:p w14:paraId="18614304" w14:textId="77777777" w:rsidR="004663A5" w:rsidRPr="004663A5" w:rsidRDefault="004663A5">
            <w:pPr>
              <w:keepNext/>
              <w:keepLines/>
              <w:spacing w:before="120" w:after="120" w:line="259" w:lineRule="auto"/>
              <w:jc w:val="both"/>
              <w:outlineLvl w:val="2"/>
              <w:rPr>
                <w:rFonts w:ascii="Times New Roman" w:eastAsia="Times New Roman" w:hAnsi="Times New Roman" w:cs="Times New Roman"/>
                <w:b/>
                <w:sz w:val="24"/>
                <w:szCs w:val="24"/>
                <w:lang w:val="en-US" w:eastAsia="bg-BG"/>
              </w:rPr>
            </w:pPr>
          </w:p>
        </w:tc>
      </w:tr>
    </w:tbl>
    <w:p w14:paraId="594CA5AF" w14:textId="77777777" w:rsidR="009C0430" w:rsidRDefault="00B27CD4">
      <w:pPr>
        <w:pStyle w:val="1"/>
      </w:pPr>
      <w:bookmarkStart w:id="52" w:name="_Toc445385591"/>
      <w:bookmarkStart w:id="53" w:name="_Toc488319654"/>
      <w:r>
        <w:t>14. Категории разходи, допустими за финансиране:</w:t>
      </w:r>
      <w:bookmarkEnd w:id="52"/>
      <w:bookmarkEnd w:id="53"/>
    </w:p>
    <w:p w14:paraId="6C7CFD5E" w14:textId="77777777" w:rsidR="009C0430" w:rsidRDefault="00B27CD4">
      <w:pPr>
        <w:pStyle w:val="2"/>
      </w:pPr>
      <w:bookmarkStart w:id="54" w:name="_Toc445385592"/>
      <w:bookmarkStart w:id="55" w:name="_Toc488319655"/>
      <w:r>
        <w:t>14.1. Общи правила за допустимост на разходите:</w:t>
      </w:r>
      <w:bookmarkEnd w:id="54"/>
      <w:bookmarkEnd w:id="55"/>
    </w:p>
    <w:tbl>
      <w:tblPr>
        <w:tblStyle w:val="afe"/>
        <w:tblW w:w="0" w:type="auto"/>
        <w:tblLook w:val="04A0" w:firstRow="1" w:lastRow="0" w:firstColumn="1" w:lastColumn="0" w:noHBand="0" w:noVBand="1"/>
      </w:tblPr>
      <w:tblGrid>
        <w:gridCol w:w="9496"/>
      </w:tblGrid>
      <w:tr w:rsidR="009C0430" w14:paraId="2853833D" w14:textId="77777777">
        <w:tc>
          <w:tcPr>
            <w:tcW w:w="9496" w:type="dxa"/>
          </w:tcPr>
          <w:p w14:paraId="1210F457"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отпускане на безвъзмездна финансова помощ ще бъдат взети под внимание само “допустимите разходи”. Те се определят на база изискванията на глава 5, раздел I от ЗУСЕСИФ и ПМС № 189/28.07.2016г.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разпоредбите на Регламент № 1303/2013, Регламент № 1304/2013, Регламент № 2018/1046 и приложимото национално законодателство за финансовата рамка 2014 – 2020 г. </w:t>
            </w:r>
          </w:p>
          <w:p w14:paraId="2F7A6461"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Съгласно чл. 57, ал. 1 от </w:t>
            </w:r>
            <w:proofErr w:type="spellStart"/>
            <w:r>
              <w:rPr>
                <w:rFonts w:ascii="Times New Roman" w:eastAsia="Times New Roman" w:hAnsi="Times New Roman" w:cs="Times New Roman"/>
                <w:sz w:val="24"/>
                <w:szCs w:val="24"/>
                <w:lang w:eastAsia="bg-BG"/>
              </w:rPr>
              <w:t>ЗУСЕСИФ,за</w:t>
            </w:r>
            <w:proofErr w:type="spellEnd"/>
            <w:r>
              <w:rPr>
                <w:rFonts w:ascii="Times New Roman" w:eastAsia="Times New Roman" w:hAnsi="Times New Roman" w:cs="Times New Roman"/>
                <w:sz w:val="24"/>
                <w:szCs w:val="24"/>
                <w:lang w:eastAsia="bg-BG"/>
              </w:rPr>
              <w:t xml:space="preserve"> да бъдат допустими разходите трябва да отговарят едновременно на следните условия:</w:t>
            </w:r>
          </w:p>
          <w:p w14:paraId="0569AE9D" w14:textId="77777777" w:rsidR="009C0430" w:rsidRDefault="00B27CD4">
            <w:pPr>
              <w:numPr>
                <w:ilvl w:val="0"/>
                <w:numId w:val="13"/>
              </w:numPr>
              <w:spacing w:after="120"/>
              <w:ind w:left="567" w:hanging="425"/>
              <w:jc w:val="both"/>
              <w:rPr>
                <w:rFonts w:ascii="Times New Roman" w:eastAsia="Calibri" w:hAnsi="Times New Roman" w:cs="Times New Roman"/>
                <w:sz w:val="24"/>
                <w:szCs w:val="24"/>
                <w:lang w:eastAsia="bg-BG"/>
              </w:rPr>
            </w:pPr>
            <w:r>
              <w:rPr>
                <w:rFonts w:ascii="Times New Roman" w:eastAsia="Times New Roman" w:hAnsi="Times New Roman" w:cs="Times New Roman"/>
                <w:sz w:val="24"/>
                <w:szCs w:val="24"/>
                <w:lang w:eastAsia="bg-BG"/>
              </w:rPr>
              <w:t xml:space="preserve">разходите са за дейности, съответстващи на критериите за подбор на операции и се извършват от допустими бенефициенти съгласно съответната програма по чл. 3, ал. 2 от ЗУСЕСИФ; </w:t>
            </w:r>
          </w:p>
          <w:p w14:paraId="425C7A8D" w14:textId="77777777" w:rsidR="009C0430" w:rsidRDefault="00B27CD4">
            <w:pPr>
              <w:numPr>
                <w:ilvl w:val="0"/>
                <w:numId w:val="13"/>
              </w:numPr>
              <w:spacing w:after="120"/>
              <w:ind w:left="567"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попадат във включени в документите по чл. 26, ал. 1 от ЗУСЕСИФ и в одобрения проект категории разходи;</w:t>
            </w:r>
          </w:p>
          <w:p w14:paraId="70D651EE" w14:textId="77777777" w:rsidR="009C0430" w:rsidRDefault="00B27CD4">
            <w:pPr>
              <w:numPr>
                <w:ilvl w:val="0"/>
                <w:numId w:val="13"/>
              </w:numPr>
              <w:spacing w:after="120"/>
              <w:ind w:left="567"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разходите са за реално доставени продукти </w:t>
            </w:r>
            <w:proofErr w:type="spellStart"/>
            <w:r>
              <w:rPr>
                <w:rFonts w:ascii="Times New Roman" w:eastAsia="Times New Roman" w:hAnsi="Times New Roman" w:cs="Times New Roman"/>
                <w:sz w:val="24"/>
                <w:szCs w:val="24"/>
                <w:lang w:eastAsia="bg-BG"/>
              </w:rPr>
              <w:t>иизвършени</w:t>
            </w:r>
            <w:proofErr w:type="spellEnd"/>
            <w:r>
              <w:rPr>
                <w:rFonts w:ascii="Times New Roman" w:eastAsia="Times New Roman" w:hAnsi="Times New Roman" w:cs="Times New Roman"/>
                <w:sz w:val="24"/>
                <w:szCs w:val="24"/>
                <w:lang w:eastAsia="bg-BG"/>
              </w:rPr>
              <w:t xml:space="preserve"> услуги;</w:t>
            </w:r>
          </w:p>
          <w:p w14:paraId="69120813" w14:textId="77777777" w:rsidR="009C0430" w:rsidRDefault="00B27CD4">
            <w:pPr>
              <w:numPr>
                <w:ilvl w:val="0"/>
                <w:numId w:val="13"/>
              </w:numPr>
              <w:spacing w:after="120"/>
              <w:ind w:left="567" w:hanging="425"/>
              <w:jc w:val="both"/>
              <w:rPr>
                <w:rFonts w:ascii="Times New Roman" w:eastAsia="Calibri" w:hAnsi="Times New Roman" w:cs="Times New Roman"/>
                <w:sz w:val="24"/>
                <w:szCs w:val="24"/>
                <w:lang w:eastAsia="bg-BG"/>
              </w:rPr>
            </w:pPr>
            <w:r>
              <w:rPr>
                <w:rFonts w:ascii="Times New Roman" w:eastAsia="Times New Roman" w:hAnsi="Times New Roman" w:cs="Times New Roman"/>
                <w:sz w:val="24"/>
                <w:szCs w:val="24"/>
                <w:lang w:eastAsia="bg-BG"/>
              </w:rPr>
              <w:t>разходите са извършени законосъобразно съгласно приложимото право на Европейския съюз и българското законодателство;</w:t>
            </w:r>
          </w:p>
          <w:p w14:paraId="73CCC167" w14:textId="77777777" w:rsidR="009C0430" w:rsidRDefault="00B27CD4">
            <w:pPr>
              <w:numPr>
                <w:ilvl w:val="0"/>
                <w:numId w:val="13"/>
              </w:numPr>
              <w:spacing w:after="120"/>
              <w:ind w:left="567"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разходите са отразени в счетоводната документация на бенефициента чрез отделни счетоводни аналитични сметки или в отделна счетоводна система; </w:t>
            </w:r>
          </w:p>
          <w:p w14:paraId="112479F7" w14:textId="77777777" w:rsidR="009C0430" w:rsidRDefault="00B27CD4">
            <w:pPr>
              <w:numPr>
                <w:ilvl w:val="0"/>
                <w:numId w:val="13"/>
              </w:numPr>
              <w:spacing w:after="120"/>
              <w:ind w:left="567"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w:t>
            </w:r>
            <w:r>
              <w:rPr>
                <w:rFonts w:ascii="Times New Roman" w:eastAsia="Times New Roman" w:hAnsi="Times New Roman" w:cs="Times New Roman"/>
                <w:sz w:val="24"/>
                <w:szCs w:val="24"/>
                <w:lang w:eastAsia="bg-BG"/>
              </w:rPr>
              <w:lastRenderedPageBreak/>
              <w:t>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14:paraId="3F67C1C9" w14:textId="77777777" w:rsidR="009C0430" w:rsidRDefault="00B27CD4">
            <w:pPr>
              <w:numPr>
                <w:ilvl w:val="0"/>
                <w:numId w:val="13"/>
              </w:numPr>
              <w:spacing w:after="120"/>
              <w:ind w:left="567"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са съобразени с приложимите правила за предоставяне на държавни помощи;</w:t>
            </w:r>
          </w:p>
          <w:p w14:paraId="0A8219AF" w14:textId="77777777" w:rsidR="009C0430" w:rsidRDefault="00B27CD4">
            <w:pPr>
              <w:pStyle w:val="Default"/>
              <w:numPr>
                <w:ilvl w:val="0"/>
                <w:numId w:val="14"/>
              </w:numPr>
              <w:jc w:val="both"/>
              <w:rPr>
                <w:b/>
                <w:bCs/>
                <w:color w:val="FF0000"/>
                <w:sz w:val="26"/>
                <w:szCs w:val="26"/>
              </w:rPr>
            </w:pPr>
            <w:r>
              <w:t>да са извършени в съответствие с принципа на доброто финансово управление в съответствие с чл. чл. 33 на Регламент (ЕС, ЕВРАТОМ) № 2018/1046 на Европейския парламент и на Съвета от 18 юли 2018 г. относно финансовите правила, приложими за общия бюджет на Съюза, и за изменение на регламенти (ЕС) № 1296/2013, (ЕС) № 1301/2013, (ЕС) № 1303/2013, (ЕС) № 1304/2013, (ЕС) № 1309/2013, (ЕС) № 1316/2013, (ЕС) № 223/2014 и (ЕС) № 283/2014 и на Решение № 541/2014/ЕС и за отмяна на Регламент (ЕО, ЕВРАТОМ) № 966/2012.</w:t>
            </w:r>
          </w:p>
          <w:p w14:paraId="3C200400" w14:textId="77777777" w:rsidR="009C0430" w:rsidRDefault="009C0430">
            <w:pPr>
              <w:spacing w:after="120"/>
              <w:ind w:left="567"/>
              <w:jc w:val="both"/>
              <w:rPr>
                <w:rFonts w:ascii="Times New Roman" w:eastAsia="Times New Roman" w:hAnsi="Times New Roman" w:cs="Times New Roman"/>
                <w:sz w:val="24"/>
                <w:szCs w:val="24"/>
                <w:lang w:eastAsia="bg-BG"/>
              </w:rPr>
            </w:pPr>
          </w:p>
          <w:p w14:paraId="33463B08" w14:textId="77777777" w:rsidR="009C0430" w:rsidRDefault="00B27CD4">
            <w:pPr>
              <w:spacing w:after="120"/>
              <w:ind w:left="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прилагане на опростено отчитане на разходите се спазват разпоредбите на чл. 55. от ЗУСЕСИФ и чл. 67, чл. 68, чл. 68 а и чл. 68 б от Регламент (ЕС) № 1303/2013 на Европейския парламент и на Съвета.</w:t>
            </w:r>
          </w:p>
        </w:tc>
      </w:tr>
    </w:tbl>
    <w:p w14:paraId="26DE9321" w14:textId="77777777" w:rsidR="009C0430" w:rsidRDefault="00B27CD4">
      <w:pPr>
        <w:pStyle w:val="2"/>
      </w:pPr>
      <w:bookmarkStart w:id="56" w:name="_Toc445385593"/>
      <w:bookmarkStart w:id="57" w:name="_Toc488319656"/>
      <w:r>
        <w:lastRenderedPageBreak/>
        <w:t xml:space="preserve">14.2. Указания за попълване на </w:t>
      </w:r>
      <w:proofErr w:type="spellStart"/>
      <w:r>
        <w:t>бюджетa</w:t>
      </w:r>
      <w:proofErr w:type="spellEnd"/>
      <w:r>
        <w:t>:</w:t>
      </w:r>
      <w:bookmarkEnd w:id="56"/>
      <w:bookmarkEnd w:id="57"/>
    </w:p>
    <w:tbl>
      <w:tblPr>
        <w:tblStyle w:val="afe"/>
        <w:tblW w:w="0" w:type="auto"/>
        <w:tblLook w:val="04A0" w:firstRow="1" w:lastRow="0" w:firstColumn="1" w:lastColumn="0" w:noHBand="0" w:noVBand="1"/>
      </w:tblPr>
      <w:tblGrid>
        <w:gridCol w:w="9496"/>
      </w:tblGrid>
      <w:tr w:rsidR="009C0430" w14:paraId="71C6D3F2" w14:textId="77777777">
        <w:tc>
          <w:tcPr>
            <w:tcW w:w="9496" w:type="dxa"/>
          </w:tcPr>
          <w:p w14:paraId="43BF15E8" w14:textId="77777777" w:rsidR="009C0430" w:rsidRDefault="00B27CD4">
            <w:pPr>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Бюджетът е част от Формуляра за кандидатстване в ИСУН2020 и включва - секция 5. Бюджет и секция 6. </w:t>
            </w:r>
            <w:r>
              <w:rPr>
                <w:rFonts w:ascii="Times New Roman" w:eastAsia="Times New Roman" w:hAnsi="Times New Roman" w:cs="Times New Roman"/>
                <w:b/>
                <w:color w:val="000000"/>
                <w:sz w:val="24"/>
                <w:szCs w:val="24"/>
                <w:lang w:eastAsia="bg-BG"/>
              </w:rPr>
              <w:t>Финансова информация – източници на финансиране.</w:t>
            </w:r>
          </w:p>
          <w:p w14:paraId="14B8329C"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Бюджетът(секция 5 от Формуляра)</w:t>
            </w:r>
            <w:r>
              <w:rPr>
                <w:rFonts w:ascii="Times New Roman" w:eastAsia="Times New Roman" w:hAnsi="Times New Roman" w:cs="Times New Roman"/>
                <w:sz w:val="24"/>
                <w:szCs w:val="24"/>
                <w:lang w:eastAsia="bg-BG"/>
              </w:rPr>
              <w:t xml:space="preserve"> следва да покрива всички допустими разходи за изпълнение на Проекта, а не само безвъзмездната финансова помощ. Ако по проекта е предвидено съфинансиране от страна на кандидата, то следва да се включи в описанието на бюджета.</w:t>
            </w:r>
          </w:p>
          <w:p w14:paraId="797A4F87"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Бюджетът се представя в лева. Стойностите се закръгляват до втория знак след десетичната запетая.</w:t>
            </w:r>
          </w:p>
          <w:p w14:paraId="6449EB79" w14:textId="77777777" w:rsidR="009C0430" w:rsidRPr="00FD3DF2" w:rsidRDefault="00B27CD4" w:rsidP="00504A71">
            <w:pPr>
              <w:autoSpaceDE w:val="0"/>
              <w:autoSpaceDN w:val="0"/>
              <w:adjustRightInd w:val="0"/>
              <w:spacing w:after="240" w:line="259" w:lineRule="auto"/>
              <w:jc w:val="both"/>
              <w:rPr>
                <w:rFonts w:ascii="Times New Roman" w:eastAsia="Times New Roman" w:hAnsi="Times New Roman" w:cs="Times New Roman"/>
                <w:sz w:val="24"/>
                <w:szCs w:val="24"/>
                <w:u w:val="single"/>
                <w:lang w:eastAsia="bg-BG"/>
              </w:rPr>
            </w:pPr>
            <w:r>
              <w:rPr>
                <w:rFonts w:ascii="Times New Roman" w:eastAsia="Times New Roman" w:hAnsi="Times New Roman" w:cs="Times New Roman"/>
                <w:sz w:val="24"/>
                <w:szCs w:val="24"/>
                <w:lang w:eastAsia="bg-BG"/>
              </w:rPr>
              <w:t xml:space="preserve">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конкретната дейност. </w:t>
            </w:r>
            <w:r w:rsidR="00DB4CFA" w:rsidRPr="00DB4CFA">
              <w:rPr>
                <w:rFonts w:ascii="Times New Roman" w:eastAsia="Times New Roman" w:hAnsi="Times New Roman" w:cs="Times New Roman"/>
                <w:sz w:val="24"/>
                <w:szCs w:val="24"/>
                <w:u w:val="single"/>
                <w:lang w:eastAsia="bg-BG"/>
              </w:rPr>
              <w:t>Общият р</w:t>
            </w:r>
            <w:r w:rsidR="00FD3DF2" w:rsidRPr="00FD3DF2">
              <w:rPr>
                <w:rFonts w:ascii="Times New Roman" w:eastAsia="Times New Roman" w:hAnsi="Times New Roman" w:cs="Times New Roman"/>
                <w:sz w:val="24"/>
                <w:szCs w:val="24"/>
                <w:u w:val="single"/>
                <w:lang w:eastAsia="bg-BG"/>
              </w:rPr>
              <w:t xml:space="preserve">азмер на планираните разходи </w:t>
            </w:r>
            <w:proofErr w:type="spellStart"/>
            <w:r w:rsidR="00FD3DF2" w:rsidRPr="00FD3DF2">
              <w:rPr>
                <w:rFonts w:ascii="Times New Roman" w:eastAsia="Times New Roman" w:hAnsi="Times New Roman" w:cs="Times New Roman"/>
                <w:sz w:val="24"/>
                <w:szCs w:val="24"/>
                <w:u w:val="single"/>
                <w:lang w:eastAsia="bg-BG"/>
              </w:rPr>
              <w:t>по</w:t>
            </w:r>
            <w:r w:rsidR="00DB4CFA" w:rsidRPr="00DB4CFA">
              <w:rPr>
                <w:rFonts w:ascii="Times New Roman" w:eastAsia="Times New Roman" w:hAnsi="Times New Roman" w:cs="Times New Roman"/>
                <w:sz w:val="24"/>
                <w:szCs w:val="24"/>
                <w:u w:val="single"/>
                <w:lang w:eastAsia="bg-BG"/>
              </w:rPr>
              <w:t>дейности</w:t>
            </w:r>
            <w:proofErr w:type="spellEnd"/>
            <w:r w:rsidR="00DB4CFA" w:rsidRPr="00DB4CFA">
              <w:rPr>
                <w:rFonts w:ascii="Times New Roman" w:eastAsia="Times New Roman" w:hAnsi="Times New Roman" w:cs="Times New Roman"/>
                <w:sz w:val="24"/>
                <w:szCs w:val="24"/>
                <w:u w:val="single"/>
                <w:lang w:eastAsia="bg-BG"/>
              </w:rPr>
              <w:t xml:space="preserve"> следва да съответства на планираните в бюджета стойности в Приложение </w:t>
            </w:r>
            <w:proofErr w:type="spellStart"/>
            <w:r w:rsidR="00DB4CFA" w:rsidRPr="00DB4CFA">
              <w:rPr>
                <w:rFonts w:ascii="Times New Roman" w:eastAsia="Times New Roman" w:hAnsi="Times New Roman" w:cs="Times New Roman"/>
                <w:sz w:val="24"/>
                <w:szCs w:val="24"/>
                <w:u w:val="single"/>
                <w:lang w:eastAsia="bg-BG"/>
              </w:rPr>
              <w:t>V„БЮДЖЕТ“.</w:t>
            </w:r>
            <w:r>
              <w:rPr>
                <w:rFonts w:ascii="Times New Roman" w:eastAsia="Times New Roman" w:hAnsi="Times New Roman" w:cs="Times New Roman"/>
                <w:color w:val="000000"/>
                <w:sz w:val="24"/>
                <w:szCs w:val="24"/>
                <w:lang w:eastAsia="bg-BG"/>
              </w:rPr>
              <w:t>При</w:t>
            </w:r>
            <w:proofErr w:type="spellEnd"/>
            <w:r>
              <w:rPr>
                <w:rFonts w:ascii="Times New Roman" w:eastAsia="Times New Roman" w:hAnsi="Times New Roman" w:cs="Times New Roman"/>
                <w:color w:val="000000"/>
                <w:sz w:val="24"/>
                <w:szCs w:val="24"/>
                <w:lang w:eastAsia="bg-BG"/>
              </w:rPr>
              <w:t xml:space="preserve"> невъзможност да бъде оценен даден разход, това може да окаже влияние върху оценката на проектното предложение, съгласно настоящите Условия.</w:t>
            </w:r>
          </w:p>
          <w:p w14:paraId="02DB5D7F" w14:textId="77777777" w:rsidR="009C0430" w:rsidRDefault="00B27CD4">
            <w:pPr>
              <w:autoSpaceDE w:val="0"/>
              <w:autoSpaceDN w:val="0"/>
              <w:adjustRightInd w:val="0"/>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Вариант I. За проектни предложения, които се осъществяват изключително чрез възлагане на обществени поръчки за стоки или услуги, възстановяването на разходите става на база:</w:t>
            </w:r>
          </w:p>
          <w:p w14:paraId="349E9120" w14:textId="77777777" w:rsidR="00504A71"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стандартна таблица на разходите за единица продукт, съгласно чл. 67, (1), т. б от Регламент 1303/2013. Разходите за мотивационно обучение, обучение за придобиване на 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(допустими дейности по Направление 1) се определят на база стандартна таблица на разходите за единица продукт, съгласно чл. 67, (1), т. б от </w:t>
            </w:r>
            <w:r>
              <w:rPr>
                <w:rFonts w:ascii="Times New Roman" w:eastAsia="Times New Roman" w:hAnsi="Times New Roman" w:cs="Times New Roman"/>
                <w:sz w:val="24"/>
                <w:szCs w:val="24"/>
                <w:lang w:eastAsia="bg-BG"/>
              </w:rPr>
              <w:lastRenderedPageBreak/>
              <w:t xml:space="preserve">Регламент 1303/2013  и предвидените разходи за тях се посочват в Приложение </w:t>
            </w:r>
            <w:proofErr w:type="spellStart"/>
            <w:r>
              <w:rPr>
                <w:rFonts w:ascii="Times New Roman" w:eastAsia="Times New Roman" w:hAnsi="Times New Roman" w:cs="Times New Roman"/>
                <w:sz w:val="24"/>
                <w:szCs w:val="24"/>
                <w:lang w:eastAsia="bg-BG"/>
              </w:rPr>
              <w:t>V</w:t>
            </w:r>
            <w:r w:rsidR="00504A71">
              <w:rPr>
                <w:rFonts w:ascii="Times New Roman" w:eastAsia="Times New Roman" w:hAnsi="Times New Roman" w:cs="Times New Roman"/>
                <w:sz w:val="24"/>
                <w:szCs w:val="24"/>
                <w:lang w:eastAsia="bg-BG"/>
              </w:rPr>
              <w:t>страница</w:t>
            </w:r>
            <w:proofErr w:type="spellEnd"/>
            <w:r w:rsidR="00504A71">
              <w:rPr>
                <w:rFonts w:ascii="Times New Roman" w:eastAsia="Times New Roman" w:hAnsi="Times New Roman" w:cs="Times New Roman"/>
                <w:sz w:val="24"/>
                <w:szCs w:val="24"/>
                <w:lang w:eastAsia="bg-BG"/>
              </w:rPr>
              <w:t xml:space="preserve"> (</w:t>
            </w:r>
            <w:proofErr w:type="spellStart"/>
            <w:r w:rsidR="00504A71">
              <w:rPr>
                <w:rFonts w:ascii="Times New Roman" w:eastAsia="Times New Roman" w:hAnsi="Times New Roman" w:cs="Times New Roman"/>
                <w:sz w:val="24"/>
                <w:szCs w:val="24"/>
                <w:lang w:eastAsia="bg-BG"/>
              </w:rPr>
              <w:t>sheet</w:t>
            </w:r>
            <w:proofErr w:type="spellEnd"/>
            <w:r w:rsidR="00504A71">
              <w:rPr>
                <w:rFonts w:ascii="Times New Roman" w:eastAsia="Times New Roman" w:hAnsi="Times New Roman" w:cs="Times New Roman"/>
                <w:sz w:val="24"/>
                <w:szCs w:val="24"/>
                <w:lang w:eastAsia="bg-BG"/>
              </w:rPr>
              <w:t xml:space="preserve">) </w:t>
            </w:r>
            <w:r w:rsidR="00504A71" w:rsidRPr="00504A71">
              <w:rPr>
                <w:rFonts w:ascii="Times New Roman" w:eastAsia="Times New Roman" w:hAnsi="Times New Roman" w:cs="Times New Roman"/>
                <w:sz w:val="24"/>
                <w:szCs w:val="24"/>
                <w:lang w:eastAsia="bg-BG"/>
              </w:rPr>
              <w:t xml:space="preserve">“стандартна таблица“ от документите за </w:t>
            </w:r>
            <w:proofErr w:type="spellStart"/>
            <w:r w:rsidR="00504A71" w:rsidRPr="00504A71">
              <w:rPr>
                <w:rFonts w:ascii="Times New Roman" w:eastAsia="Times New Roman" w:hAnsi="Times New Roman" w:cs="Times New Roman"/>
                <w:sz w:val="24"/>
                <w:szCs w:val="24"/>
                <w:lang w:eastAsia="bg-BG"/>
              </w:rPr>
              <w:t>попълване.П</w:t>
            </w:r>
            <w:r w:rsidR="00504A71">
              <w:rPr>
                <w:rFonts w:ascii="Times New Roman" w:eastAsia="Times New Roman" w:hAnsi="Times New Roman" w:cs="Times New Roman"/>
                <w:sz w:val="24"/>
                <w:szCs w:val="24"/>
                <w:lang w:eastAsia="bg-BG"/>
              </w:rPr>
              <w:t>ланирането</w:t>
            </w:r>
            <w:proofErr w:type="spellEnd"/>
            <w:r w:rsidR="00504A71">
              <w:rPr>
                <w:rFonts w:ascii="Times New Roman" w:eastAsia="Times New Roman" w:hAnsi="Times New Roman" w:cs="Times New Roman"/>
                <w:sz w:val="24"/>
                <w:szCs w:val="24"/>
                <w:lang w:eastAsia="bg-BG"/>
              </w:rPr>
              <w:t xml:space="preserve"> и отчитането на тези </w:t>
            </w:r>
            <w:r w:rsidR="00504A71" w:rsidRPr="00504A71">
              <w:rPr>
                <w:rFonts w:ascii="Times New Roman" w:eastAsia="Times New Roman" w:hAnsi="Times New Roman" w:cs="Times New Roman"/>
                <w:sz w:val="24"/>
                <w:szCs w:val="24"/>
                <w:lang w:eastAsia="bg-BG"/>
              </w:rPr>
              <w:t>разходи е съгласно посоченото във Вариант II</w:t>
            </w:r>
            <w:r w:rsidR="00504A71">
              <w:rPr>
                <w:rFonts w:ascii="Times New Roman" w:eastAsia="Times New Roman" w:hAnsi="Times New Roman" w:cs="Times New Roman"/>
                <w:sz w:val="24"/>
                <w:szCs w:val="24"/>
                <w:lang w:eastAsia="bg-BG"/>
              </w:rPr>
              <w:t>.</w:t>
            </w:r>
          </w:p>
          <w:p w14:paraId="4232571D" w14:textId="77777777" w:rsidR="00DE7D1A" w:rsidRDefault="00DB4CFA">
            <w:pPr>
              <w:pStyle w:val="a0"/>
              <w:numPr>
                <w:ilvl w:val="0"/>
                <w:numId w:val="3"/>
              </w:numPr>
              <w:autoSpaceDE w:val="0"/>
              <w:autoSpaceDN w:val="0"/>
              <w:adjustRightInd w:val="0"/>
              <w:spacing w:after="240"/>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 xml:space="preserve">действително направени и платени допустими разходи – приложимо за всички останали дейности. </w:t>
            </w:r>
          </w:p>
          <w:p w14:paraId="2044BFE4" w14:textId="77777777" w:rsidR="007872AD" w:rsidRPr="00FD3DF2" w:rsidRDefault="00DB4CFA" w:rsidP="00FD3DF2">
            <w:pPr>
              <w:autoSpaceDE w:val="0"/>
              <w:autoSpaceDN w:val="0"/>
              <w:adjustRightInd w:val="0"/>
              <w:spacing w:after="240" w:line="259" w:lineRule="auto"/>
              <w:jc w:val="both"/>
              <w:rPr>
                <w:rFonts w:ascii="Times New Roman" w:eastAsia="Times New Roman" w:hAnsi="Times New Roman" w:cs="Times New Roman"/>
                <w:sz w:val="24"/>
                <w:szCs w:val="24"/>
                <w:lang w:eastAsia="bg-BG"/>
              </w:rPr>
            </w:pPr>
            <w:r w:rsidRPr="00DB4CFA">
              <w:rPr>
                <w:rFonts w:ascii="Times New Roman" w:eastAsia="Times New Roman" w:hAnsi="Times New Roman" w:cs="Times New Roman"/>
                <w:sz w:val="24"/>
                <w:szCs w:val="24"/>
                <w:lang w:eastAsia="bg-BG"/>
              </w:rPr>
              <w:t>При подаване на проектното предложение, кандидатите попълват страница (</w:t>
            </w:r>
            <w:proofErr w:type="spellStart"/>
            <w:r w:rsidRPr="00DB4CFA">
              <w:rPr>
                <w:rFonts w:ascii="Times New Roman" w:eastAsia="Times New Roman" w:hAnsi="Times New Roman" w:cs="Times New Roman"/>
                <w:sz w:val="24"/>
                <w:szCs w:val="24"/>
                <w:lang w:eastAsia="bg-BG"/>
              </w:rPr>
              <w:t>sheet</w:t>
            </w:r>
            <w:proofErr w:type="spellEnd"/>
            <w:r w:rsidRPr="00DB4CFA">
              <w:rPr>
                <w:rFonts w:ascii="Times New Roman" w:eastAsia="Times New Roman" w:hAnsi="Times New Roman" w:cs="Times New Roman"/>
                <w:sz w:val="24"/>
                <w:szCs w:val="24"/>
                <w:lang w:eastAsia="bg-BG"/>
              </w:rPr>
              <w:t xml:space="preserve">)„Бюджет Вариант I“ от Приложение V „БЮДЖЕТ“ </w:t>
            </w:r>
            <w:proofErr w:type="spellStart"/>
            <w:r w:rsidRPr="00DB4CFA">
              <w:rPr>
                <w:rFonts w:ascii="Times New Roman" w:eastAsia="Times New Roman" w:hAnsi="Times New Roman" w:cs="Times New Roman"/>
                <w:sz w:val="24"/>
                <w:szCs w:val="24"/>
                <w:lang w:eastAsia="bg-BG"/>
              </w:rPr>
              <w:t>отдокументите</w:t>
            </w:r>
            <w:proofErr w:type="spellEnd"/>
            <w:r w:rsidRPr="00DB4CFA">
              <w:rPr>
                <w:rFonts w:ascii="Times New Roman" w:eastAsia="Times New Roman" w:hAnsi="Times New Roman" w:cs="Times New Roman"/>
                <w:sz w:val="24"/>
                <w:szCs w:val="24"/>
                <w:lang w:eastAsia="bg-BG"/>
              </w:rPr>
              <w:t xml:space="preserve"> за попълване. Допустимите разходи за </w:t>
            </w:r>
            <w:proofErr w:type="spellStart"/>
            <w:r w:rsidRPr="00DB4CFA">
              <w:rPr>
                <w:rFonts w:ascii="Times New Roman" w:eastAsia="Times New Roman" w:hAnsi="Times New Roman" w:cs="Times New Roman"/>
                <w:sz w:val="24"/>
                <w:szCs w:val="24"/>
                <w:lang w:eastAsia="bg-BG"/>
              </w:rPr>
              <w:t>тезидейности</w:t>
            </w:r>
            <w:proofErr w:type="spellEnd"/>
            <w:r w:rsidRPr="00DB4CFA">
              <w:rPr>
                <w:rFonts w:ascii="Times New Roman" w:eastAsia="Times New Roman" w:hAnsi="Times New Roman" w:cs="Times New Roman"/>
                <w:sz w:val="24"/>
                <w:szCs w:val="24"/>
                <w:lang w:eastAsia="bg-BG"/>
              </w:rPr>
              <w:t xml:space="preserve"> са посочени в т. 14.3. от настоящите Условия за кандидатстване - Вариант I.</w:t>
            </w:r>
          </w:p>
          <w:p w14:paraId="088244D4" w14:textId="77777777" w:rsidR="009C0430" w:rsidRDefault="00B27CD4" w:rsidP="007872AD">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w:t>
            </w:r>
            <w:proofErr w:type="spellStart"/>
            <w:r>
              <w:rPr>
                <w:rFonts w:ascii="Times New Roman" w:eastAsia="Times New Roman" w:hAnsi="Times New Roman" w:cs="Times New Roman"/>
                <w:sz w:val="24"/>
                <w:szCs w:val="24"/>
                <w:lang w:eastAsia="bg-BG"/>
              </w:rPr>
              <w:t>бюджета.</w:t>
            </w:r>
            <w:r w:rsidR="007872AD" w:rsidRPr="007872AD">
              <w:rPr>
                <w:rFonts w:ascii="Times New Roman" w:eastAsia="Times New Roman" w:hAnsi="Times New Roman" w:cs="Times New Roman"/>
                <w:sz w:val="24"/>
                <w:szCs w:val="24"/>
                <w:lang w:eastAsia="bg-BG"/>
              </w:rPr>
              <w:t>При</w:t>
            </w:r>
            <w:proofErr w:type="spellEnd"/>
            <w:r w:rsidR="007872AD" w:rsidRPr="007872AD">
              <w:rPr>
                <w:rFonts w:ascii="Times New Roman" w:eastAsia="Times New Roman" w:hAnsi="Times New Roman" w:cs="Times New Roman"/>
                <w:sz w:val="24"/>
                <w:szCs w:val="24"/>
                <w:lang w:eastAsia="bg-BG"/>
              </w:rPr>
              <w:t xml:space="preserve"> невъзможност да бъде оценен даден р</w:t>
            </w:r>
            <w:r w:rsidR="007872AD">
              <w:rPr>
                <w:rFonts w:ascii="Times New Roman" w:eastAsia="Times New Roman" w:hAnsi="Times New Roman" w:cs="Times New Roman"/>
                <w:sz w:val="24"/>
                <w:szCs w:val="24"/>
                <w:lang w:eastAsia="bg-BG"/>
              </w:rPr>
              <w:t xml:space="preserve">азход или е планиран в завишени </w:t>
            </w:r>
            <w:r w:rsidR="007872AD" w:rsidRPr="007872AD">
              <w:rPr>
                <w:rFonts w:ascii="Times New Roman" w:eastAsia="Times New Roman" w:hAnsi="Times New Roman" w:cs="Times New Roman"/>
                <w:sz w:val="24"/>
                <w:szCs w:val="24"/>
                <w:lang w:eastAsia="bg-BG"/>
              </w:rPr>
              <w:t>стойности, това ще окаже влияние върху оценката на п</w:t>
            </w:r>
            <w:r w:rsidR="007872AD">
              <w:rPr>
                <w:rFonts w:ascii="Times New Roman" w:eastAsia="Times New Roman" w:hAnsi="Times New Roman" w:cs="Times New Roman"/>
                <w:sz w:val="24"/>
                <w:szCs w:val="24"/>
                <w:lang w:eastAsia="bg-BG"/>
              </w:rPr>
              <w:t xml:space="preserve">роектното предложение, съгласно </w:t>
            </w:r>
            <w:r w:rsidR="007872AD" w:rsidRPr="007872AD">
              <w:rPr>
                <w:rFonts w:ascii="Times New Roman" w:eastAsia="Times New Roman" w:hAnsi="Times New Roman" w:cs="Times New Roman"/>
                <w:sz w:val="24"/>
                <w:szCs w:val="24"/>
                <w:lang w:eastAsia="bg-BG"/>
              </w:rPr>
              <w:t>настоящите Условия.</w:t>
            </w:r>
          </w:p>
          <w:p w14:paraId="089738EF"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2C6FD9FB" w14:textId="77777777" w:rsidR="00FD3DF2" w:rsidRDefault="00FD3DF2" w:rsidP="00FD3DF2">
            <w:pPr>
              <w:autoSpaceDE w:val="0"/>
              <w:autoSpaceDN w:val="0"/>
              <w:adjustRightInd w:val="0"/>
              <w:spacing w:after="240"/>
              <w:jc w:val="both"/>
              <w:rPr>
                <w:rFonts w:ascii="Times New Roman" w:eastAsia="Times New Roman" w:hAnsi="Times New Roman" w:cs="Times New Roman"/>
                <w:sz w:val="24"/>
                <w:szCs w:val="24"/>
                <w:lang w:eastAsia="bg-BG"/>
              </w:rPr>
            </w:pPr>
            <w:r w:rsidRPr="00FD3DF2">
              <w:rPr>
                <w:rFonts w:ascii="Times New Roman" w:eastAsia="Times New Roman" w:hAnsi="Times New Roman" w:cs="Times New Roman"/>
                <w:sz w:val="24"/>
                <w:szCs w:val="24"/>
                <w:lang w:eastAsia="bg-BG"/>
              </w:rPr>
              <w:t>Разходите се залагат в Приложение V “БЮДЖЕТ“, стра</w:t>
            </w:r>
            <w:r>
              <w:rPr>
                <w:rFonts w:ascii="Times New Roman" w:eastAsia="Times New Roman" w:hAnsi="Times New Roman" w:cs="Times New Roman"/>
                <w:sz w:val="24"/>
                <w:szCs w:val="24"/>
                <w:lang w:eastAsia="bg-BG"/>
              </w:rPr>
              <w:t>ница (</w:t>
            </w:r>
            <w:proofErr w:type="spellStart"/>
            <w:r>
              <w:rPr>
                <w:rFonts w:ascii="Times New Roman" w:eastAsia="Times New Roman" w:hAnsi="Times New Roman" w:cs="Times New Roman"/>
                <w:sz w:val="24"/>
                <w:szCs w:val="24"/>
                <w:lang w:eastAsia="bg-BG"/>
              </w:rPr>
              <w:t>sheet</w:t>
            </w:r>
            <w:proofErr w:type="spellEnd"/>
            <w:r>
              <w:rPr>
                <w:rFonts w:ascii="Times New Roman" w:eastAsia="Times New Roman" w:hAnsi="Times New Roman" w:cs="Times New Roman"/>
                <w:sz w:val="24"/>
                <w:szCs w:val="24"/>
                <w:lang w:eastAsia="bg-BG"/>
              </w:rPr>
              <w:t xml:space="preserve">) “Бюджет Вариант I“ </w:t>
            </w:r>
            <w:r w:rsidRPr="00FD3DF2">
              <w:rPr>
                <w:rFonts w:ascii="Times New Roman" w:eastAsia="Times New Roman" w:hAnsi="Times New Roman" w:cs="Times New Roman"/>
                <w:sz w:val="24"/>
                <w:szCs w:val="24"/>
                <w:lang w:eastAsia="bg-BG"/>
              </w:rPr>
              <w:t>от документите за попълване.</w:t>
            </w:r>
          </w:p>
          <w:p w14:paraId="5A0A2BA7" w14:textId="77777777" w:rsidR="009C0430" w:rsidRDefault="00B27CD4">
            <w:pPr>
              <w:autoSpaceDE w:val="0"/>
              <w:autoSpaceDN w:val="0"/>
              <w:adjustRightInd w:val="0"/>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Вариант II. 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14:paraId="53398BB8"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стандартна таблица на разходите за единица продукт, съгласно чл. 67, (1), т. б от Регламент 1303/2013;</w:t>
            </w:r>
          </w:p>
          <w:p w14:paraId="61B1FAD1"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еднократни суми за отделните видове разходи, съгласно чл. 67, (1), т. в от Регламент 1303/2013;</w:t>
            </w:r>
          </w:p>
          <w:p w14:paraId="03F01020"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2BA75A31"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са определени по коректен, справедлив и проверим метод на изчисление, основаващ се на:</w:t>
            </w:r>
          </w:p>
          <w:p w14:paraId="4E3BD6FA"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w:t>
            </w:r>
            <w:r>
              <w:rPr>
                <w:rFonts w:ascii="Times New Roman" w:eastAsia="Times New Roman" w:hAnsi="Times New Roman" w:cs="Times New Roman"/>
                <w:sz w:val="24"/>
                <w:szCs w:val="24"/>
                <w:lang w:eastAsia="bg-BG"/>
              </w:rPr>
              <w:lastRenderedPageBreak/>
              <w:t>и финансиране с единна ставка), и</w:t>
            </w:r>
          </w:p>
          <w:p w14:paraId="68B3121B"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проектобюджет, изготвен за конкретния случай и одобрен предварително от Управляващия орган, съгласно чл. 67 (5), буква „</w:t>
            </w:r>
            <w:proofErr w:type="spellStart"/>
            <w:r>
              <w:rPr>
                <w:rFonts w:ascii="Times New Roman" w:eastAsia="Times New Roman" w:hAnsi="Times New Roman" w:cs="Times New Roman"/>
                <w:sz w:val="24"/>
                <w:szCs w:val="24"/>
                <w:lang w:eastAsia="bg-BG"/>
              </w:rPr>
              <w:t>аа</w:t>
            </w:r>
            <w:proofErr w:type="spellEnd"/>
            <w:r>
              <w:rPr>
                <w:rFonts w:ascii="Times New Roman" w:eastAsia="Times New Roman" w:hAnsi="Times New Roman" w:cs="Times New Roman"/>
                <w:sz w:val="24"/>
                <w:szCs w:val="24"/>
                <w:lang w:eastAsia="bg-BG"/>
              </w:rPr>
              <w:t xml:space="preserve">“ от Регламент 1303/2013 (за еднократни суми за отделните видове разходи). </w:t>
            </w:r>
          </w:p>
          <w:p w14:paraId="38CA751E"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Разходите за мотивационно обучение (ако е предвидено), обучение за придобиване на 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(допустими дейности по Направление 1)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V,  страница (</w:t>
            </w:r>
            <w:proofErr w:type="spellStart"/>
            <w:r>
              <w:rPr>
                <w:rFonts w:ascii="Times New Roman" w:eastAsia="Times New Roman" w:hAnsi="Times New Roman" w:cs="Times New Roman"/>
                <w:sz w:val="24"/>
                <w:szCs w:val="24"/>
                <w:lang w:eastAsia="bg-BG"/>
              </w:rPr>
              <w:t>sheet</w:t>
            </w:r>
            <w:proofErr w:type="spellEnd"/>
            <w:r>
              <w:rPr>
                <w:rFonts w:ascii="Times New Roman" w:eastAsia="Times New Roman" w:hAnsi="Times New Roman" w:cs="Times New Roman"/>
                <w:sz w:val="24"/>
                <w:szCs w:val="24"/>
                <w:lang w:eastAsia="bg-BG"/>
              </w:rPr>
              <w:t xml:space="preserve">) “стандартна таблица“ от документите за попълване. Тези разходи са приложими и за двата варианта на отчитане на разходите. </w:t>
            </w:r>
          </w:p>
          <w:p w14:paraId="49FBDB89"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 както и възнагражденията на наставниците, и стипендии.  </w:t>
            </w:r>
          </w:p>
          <w:p w14:paraId="5E21F63A"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реално отработени дни на месец и т.н.</w:t>
            </w:r>
          </w:p>
          <w:p w14:paraId="57EFF8A5"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Разходите за всички останали допустими дейности се определят на база еднократна сума, съгласно чл. 67 (1), т. в от Регламент 1303/2013, изчислена въз основа на проектобюджет - Приложение V от документите за попълване - страници (</w:t>
            </w:r>
            <w:proofErr w:type="spellStart"/>
            <w:r>
              <w:rPr>
                <w:rFonts w:ascii="Times New Roman" w:eastAsia="Times New Roman" w:hAnsi="Times New Roman" w:cs="Times New Roman"/>
                <w:sz w:val="24"/>
                <w:szCs w:val="24"/>
                <w:lang w:eastAsia="bg-BG"/>
              </w:rPr>
              <w:t>sheet</w:t>
            </w:r>
            <w:proofErr w:type="spellEnd"/>
            <w:r>
              <w:rPr>
                <w:rFonts w:ascii="Times New Roman" w:eastAsia="Times New Roman" w:hAnsi="Times New Roman" w:cs="Times New Roman"/>
                <w:sz w:val="24"/>
                <w:szCs w:val="24"/>
                <w:lang w:eastAsia="bg-BG"/>
              </w:rPr>
              <w:t xml:space="preserve">) “Проектобюджет“ и попълнени от кандидата „План-сметки“ за всяка една от тези дейности. </w:t>
            </w:r>
          </w:p>
          <w:p w14:paraId="2C22A929"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48C04DDB"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14:paraId="14779ABC"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Проектобюджетът на кандидата се формира от план-сметките (част от приложение </w:t>
            </w:r>
            <w:r>
              <w:rPr>
                <w:rFonts w:ascii="Times New Roman" w:eastAsia="Times New Roman" w:hAnsi="Times New Roman" w:cs="Times New Roman"/>
                <w:sz w:val="24"/>
                <w:szCs w:val="24"/>
                <w:lang w:val="en-US" w:eastAsia="bg-BG"/>
              </w:rPr>
              <w:t>V</w:t>
            </w:r>
            <w:r>
              <w:rPr>
                <w:rFonts w:ascii="Times New Roman" w:eastAsia="Times New Roman" w:hAnsi="Times New Roman" w:cs="Times New Roman"/>
                <w:sz w:val="24"/>
                <w:szCs w:val="24"/>
                <w:lang w:eastAsia="bg-BG"/>
              </w:rPr>
              <w:t xml:space="preserve">)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и,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w:t>
            </w:r>
            <w:r>
              <w:rPr>
                <w:rFonts w:ascii="Times New Roman" w:eastAsia="Times New Roman" w:hAnsi="Times New Roman" w:cs="Times New Roman"/>
                <w:sz w:val="24"/>
                <w:szCs w:val="24"/>
                <w:lang w:eastAsia="bg-BG"/>
              </w:rPr>
              <w:lastRenderedPageBreak/>
              <w:t>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14:paraId="4B77DF69"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Всеки вид разход в проектобюджета се залага на отделен бюджетен ред като общ разход, кореспондиращ на план-сметката за съответната дейност.</w:t>
            </w:r>
          </w:p>
          <w:p w14:paraId="50C29310"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резултатите/крайните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 </w:t>
            </w:r>
          </w:p>
          <w:p w14:paraId="5390B76F" w14:textId="77777777" w:rsidR="009C0430" w:rsidRDefault="00B27CD4">
            <w:pPr>
              <w:autoSpaceDE w:val="0"/>
              <w:autoSpaceDN w:val="0"/>
              <w:adjustRightInd w:val="0"/>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71DA095E"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Pr>
                <w:rFonts w:ascii="Times New Roman" w:eastAsia="Times New Roman" w:hAnsi="Times New Roman" w:cs="Times New Roman"/>
                <w:sz w:val="24"/>
                <w:szCs w:val="24"/>
                <w:lang w:eastAsia="bg-BG"/>
              </w:rPr>
              <w:t>разходооправдателни</w:t>
            </w:r>
            <w:proofErr w:type="spellEnd"/>
            <w:r>
              <w:rPr>
                <w:rFonts w:ascii="Times New Roman" w:eastAsia="Times New Roman" w:hAnsi="Times New Roman" w:cs="Times New Roman"/>
                <w:sz w:val="24"/>
                <w:szCs w:val="24"/>
                <w:lang w:eastAsia="bg-BG"/>
              </w:rPr>
              <w:t xml:space="preserve">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постигнати резултати/краен продукт.</w:t>
            </w:r>
          </w:p>
          <w:p w14:paraId="54A65881" w14:textId="77777777" w:rsidR="009C0430" w:rsidRDefault="00B27CD4">
            <w:pPr>
              <w:autoSpaceDE w:val="0"/>
              <w:autoSpaceDN w:val="0"/>
              <w:adjustRightInd w:val="0"/>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0C9E225C"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2998E091"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68EBD68B"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3A92715B" w14:textId="77777777" w:rsidR="009C0430" w:rsidRDefault="00B27CD4">
            <w:pPr>
              <w:autoSpaceDE w:val="0"/>
              <w:autoSpaceDN w:val="0"/>
              <w:adjustRightInd w:val="0"/>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се залагат в Приложение V “БЮДЖЕТ“,  страница (</w:t>
            </w:r>
            <w:proofErr w:type="spellStart"/>
            <w:r>
              <w:rPr>
                <w:rFonts w:ascii="Times New Roman" w:eastAsia="Times New Roman" w:hAnsi="Times New Roman" w:cs="Times New Roman"/>
                <w:sz w:val="24"/>
                <w:szCs w:val="24"/>
                <w:lang w:eastAsia="bg-BG"/>
              </w:rPr>
              <w:t>sheet</w:t>
            </w:r>
            <w:proofErr w:type="spellEnd"/>
            <w:r>
              <w:rPr>
                <w:rFonts w:ascii="Times New Roman" w:eastAsia="Times New Roman" w:hAnsi="Times New Roman" w:cs="Times New Roman"/>
                <w:sz w:val="24"/>
                <w:szCs w:val="24"/>
                <w:lang w:eastAsia="bg-BG"/>
              </w:rPr>
              <w:t xml:space="preserve">) “Бюджет Вариант II“ </w:t>
            </w:r>
            <w:r>
              <w:rPr>
                <w:rFonts w:ascii="Times New Roman" w:eastAsia="Times New Roman" w:hAnsi="Times New Roman" w:cs="Times New Roman"/>
                <w:sz w:val="24"/>
                <w:szCs w:val="24"/>
                <w:lang w:eastAsia="bg-BG"/>
              </w:rPr>
              <w:lastRenderedPageBreak/>
              <w:t>от документите за попълване.</w:t>
            </w:r>
          </w:p>
          <w:p w14:paraId="1F138840" w14:textId="77777777" w:rsidR="009C0430" w:rsidRDefault="00B27CD4">
            <w:pPr>
              <w:spacing w:after="24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sz w:val="24"/>
                <w:szCs w:val="24"/>
                <w:lang w:eastAsia="bg-BG"/>
              </w:rPr>
              <w:t>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V „БЮДЖЕТ“, страница (</w:t>
            </w:r>
            <w:proofErr w:type="spellStart"/>
            <w:r>
              <w:rPr>
                <w:rFonts w:ascii="Times New Roman" w:eastAsia="Times New Roman" w:hAnsi="Times New Roman" w:cs="Times New Roman"/>
                <w:b/>
                <w:sz w:val="24"/>
                <w:szCs w:val="24"/>
                <w:lang w:eastAsia="bg-BG"/>
              </w:rPr>
              <w:t>sheet</w:t>
            </w:r>
            <w:proofErr w:type="spellEnd"/>
            <w:r>
              <w:rPr>
                <w:rFonts w:ascii="Times New Roman" w:eastAsia="Times New Roman" w:hAnsi="Times New Roman" w:cs="Times New Roman"/>
                <w:b/>
                <w:sz w:val="24"/>
                <w:szCs w:val="24"/>
                <w:lang w:eastAsia="bg-BG"/>
              </w:rPr>
              <w:t xml:space="preserve">)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w:t>
            </w:r>
            <w:proofErr w:type="spellStart"/>
            <w:r>
              <w:rPr>
                <w:rFonts w:ascii="Times New Roman" w:eastAsia="Times New Roman" w:hAnsi="Times New Roman" w:cs="Times New Roman"/>
                <w:b/>
                <w:sz w:val="24"/>
                <w:szCs w:val="24"/>
                <w:lang w:eastAsia="bg-BG"/>
              </w:rPr>
              <w:t>разходите.</w:t>
            </w:r>
            <w:r>
              <w:rPr>
                <w:rFonts w:ascii="Times New Roman" w:eastAsia="Times New Roman" w:hAnsi="Times New Roman" w:cs="Times New Roman"/>
                <w:color w:val="000000"/>
                <w:sz w:val="24"/>
                <w:szCs w:val="24"/>
                <w:lang w:eastAsia="bg-BG"/>
              </w:rPr>
              <w:t>При</w:t>
            </w:r>
            <w:proofErr w:type="spellEnd"/>
            <w:r>
              <w:rPr>
                <w:rFonts w:ascii="Times New Roman" w:eastAsia="Times New Roman" w:hAnsi="Times New Roman" w:cs="Times New Roman"/>
                <w:color w:val="000000"/>
                <w:sz w:val="24"/>
                <w:szCs w:val="24"/>
                <w:lang w:eastAsia="bg-BG"/>
              </w:rPr>
              <w:t xml:space="preserve"> попълване на бюджета, Бенефициентът трябва точно да следва бюджетната рамка, </w:t>
            </w:r>
            <w:r>
              <w:rPr>
                <w:rFonts w:ascii="Times New Roman" w:eastAsia="Times New Roman" w:hAnsi="Times New Roman" w:cs="Times New Roman"/>
                <w:b/>
                <w:color w:val="000000"/>
                <w:sz w:val="24"/>
                <w:szCs w:val="24"/>
                <w:u w:val="single"/>
                <w:lang w:eastAsia="bg-BG"/>
              </w:rPr>
              <w:t>като не е допустимо да се добавят нови видове разходи</w:t>
            </w:r>
            <w:r>
              <w:rPr>
                <w:rFonts w:ascii="Times New Roman" w:eastAsia="Times New Roman" w:hAnsi="Times New Roman" w:cs="Times New Roman"/>
                <w:color w:val="000000"/>
                <w:sz w:val="24"/>
                <w:szCs w:val="24"/>
                <w:lang w:eastAsia="bg-BG"/>
              </w:rPr>
              <w:t>, различни от посочените.</w:t>
            </w:r>
          </w:p>
          <w:p w14:paraId="4B5ED112" w14:textId="77777777" w:rsidR="009C0430" w:rsidRDefault="00B27CD4">
            <w:pPr>
              <w:pStyle w:val="Default"/>
              <w:jc w:val="both"/>
            </w:pPr>
            <w:r>
              <w:rPr>
                <w:b/>
                <w:bCs/>
              </w:rPr>
              <w:t xml:space="preserve">Всички разходи се попълват в съответните </w:t>
            </w:r>
            <w:proofErr w:type="spellStart"/>
            <w:r>
              <w:rPr>
                <w:b/>
                <w:bCs/>
              </w:rPr>
              <w:t>редовес</w:t>
            </w:r>
            <w:proofErr w:type="spellEnd"/>
            <w:r>
              <w:rPr>
                <w:b/>
                <w:bCs/>
              </w:rPr>
              <w:t xml:space="preserve"> ДДС за бюджетните пера, в случаите, когато същият е невъзстановим по смисъла на </w:t>
            </w:r>
            <w:r>
              <w:t xml:space="preserve">Указания на министъра на финансите № ДНФ-3/ 23.12.2016 </w:t>
            </w:r>
            <w:proofErr w:type="spellStart"/>
            <w:r>
              <w:t>г.относно</w:t>
            </w:r>
            <w:proofErr w:type="spellEnd"/>
            <w:r>
              <w:t xml:space="preserve">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w:t>
            </w:r>
          </w:p>
          <w:p w14:paraId="0F8786DE" w14:textId="77777777" w:rsidR="009C0430" w:rsidRDefault="00B27CD4">
            <w:pPr>
              <w:autoSpaceDE w:val="0"/>
              <w:autoSpaceDN w:val="0"/>
              <w:adjustRightInd w:val="0"/>
              <w:spacing w:after="120"/>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Финансова информация – източници на финансиране (секция 6 от Формуляра)</w:t>
            </w:r>
          </w:p>
          <w:p w14:paraId="5D4DB8A1"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секция 6. Финансова информация – източници на финансиране от Формуляра за кандидатстване, в полето „Искано финансиране (Безвъзмездна финансова помощ) системата автоматично прехвърля общата сума на бюджета от секция 5. Бюджет.</w:t>
            </w:r>
          </w:p>
          <w:p w14:paraId="09B0EB5B"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Кандидатът следва да попълни следните полета от таблицата:</w:t>
            </w:r>
          </w:p>
          <w:p w14:paraId="6341C6FE" w14:textId="77777777" w:rsidR="009C0430" w:rsidRDefault="00B27CD4">
            <w:pPr>
              <w:numPr>
                <w:ilvl w:val="0"/>
                <w:numId w:val="15"/>
              </w:num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Искано финансиране (Безвъзмездна финансова помощ), в т.ч. кръстосано финансиране - </w:t>
            </w:r>
            <w:r>
              <w:rPr>
                <w:rFonts w:ascii="Times New Roman" w:eastAsia="Times New Roman" w:hAnsi="Times New Roman" w:cs="Times New Roman"/>
                <w:bCs/>
                <w:sz w:val="24"/>
                <w:szCs w:val="24"/>
                <w:shd w:val="clear" w:color="auto" w:fill="FFFFFF"/>
                <w:lang w:eastAsia="bg-BG"/>
              </w:rPr>
              <w:t>Ако не е предвидено кръстосано финансиране, полето не се попълва. НЕПРИЛОЖИМО</w:t>
            </w:r>
          </w:p>
          <w:p w14:paraId="6D7BDC4E" w14:textId="77777777" w:rsidR="009C0430" w:rsidRDefault="00B27CD4">
            <w:pPr>
              <w:numPr>
                <w:ilvl w:val="0"/>
                <w:numId w:val="15"/>
              </w:num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shd w:val="clear" w:color="auto" w:fill="FFFFFF"/>
                <w:lang w:eastAsia="bg-BG"/>
              </w:rPr>
              <w:t>Съфинансиране от бенефициента/партньорите (</w:t>
            </w:r>
            <w:r>
              <w:rPr>
                <w:rFonts w:ascii="Times New Roman" w:eastAsia="Times New Roman" w:hAnsi="Times New Roman" w:cs="Times New Roman"/>
                <w:b/>
                <w:bCs/>
                <w:sz w:val="24"/>
                <w:szCs w:val="24"/>
                <w:shd w:val="clear" w:color="auto" w:fill="FFFFFF"/>
                <w:lang w:eastAsia="bg-BG"/>
              </w:rPr>
              <w:t>средства от бюджетни предприятия</w:t>
            </w:r>
            <w:r>
              <w:rPr>
                <w:rFonts w:ascii="Times New Roman" w:eastAsia="Times New Roman" w:hAnsi="Times New Roman" w:cs="Times New Roman"/>
                <w:bCs/>
                <w:sz w:val="24"/>
                <w:szCs w:val="24"/>
                <w:shd w:val="clear" w:color="auto" w:fill="FFFFFF"/>
                <w:lang w:eastAsia="bg-BG"/>
              </w:rPr>
              <w:t>) – в случай, че е предвиден, собствен принос в бюджета на проекта. Ако не е предвиден собствен принос, полето не се попълва.</w:t>
            </w:r>
          </w:p>
          <w:p w14:paraId="43BF9AF7" w14:textId="77777777" w:rsidR="009C0430" w:rsidRDefault="00B27CD4">
            <w:pPr>
              <w:numPr>
                <w:ilvl w:val="0"/>
                <w:numId w:val="15"/>
              </w:num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Съфинансиране от бенефициента/партньорите (</w:t>
            </w:r>
            <w:r>
              <w:rPr>
                <w:rFonts w:ascii="Times New Roman" w:eastAsia="Times New Roman" w:hAnsi="Times New Roman" w:cs="Times New Roman"/>
                <w:b/>
                <w:sz w:val="24"/>
                <w:szCs w:val="24"/>
                <w:lang w:eastAsia="bg-BG"/>
              </w:rPr>
              <w:t>средства от бенефициенти, които не са бюджетни предприятия</w:t>
            </w:r>
            <w:r>
              <w:rPr>
                <w:rFonts w:ascii="Times New Roman" w:eastAsia="Times New Roman" w:hAnsi="Times New Roman" w:cs="Times New Roman"/>
                <w:sz w:val="24"/>
                <w:szCs w:val="24"/>
                <w:lang w:eastAsia="bg-BG"/>
              </w:rPr>
              <w:t>)</w:t>
            </w:r>
            <w:r>
              <w:rPr>
                <w:rFonts w:ascii="Times New Roman" w:eastAsia="Times New Roman" w:hAnsi="Times New Roman" w:cs="Times New Roman"/>
                <w:bCs/>
                <w:sz w:val="24"/>
                <w:szCs w:val="24"/>
                <w:shd w:val="clear" w:color="auto" w:fill="FFFFFF"/>
                <w:lang w:eastAsia="bg-BG"/>
              </w:rPr>
              <w:t xml:space="preserve"> – в случай, че е предвиден, собствен принос в бюджета на проекта. Ако не е предвиден собствен принос, полето не се попълва.</w:t>
            </w:r>
          </w:p>
          <w:p w14:paraId="28A8CEAC" w14:textId="77777777" w:rsidR="009C0430" w:rsidRDefault="009C0430">
            <w:pPr>
              <w:jc w:val="both"/>
              <w:rPr>
                <w:rFonts w:ascii="Times New Roman" w:eastAsia="Times New Roman" w:hAnsi="Times New Roman" w:cs="Times New Roman"/>
                <w:b/>
                <w:sz w:val="24"/>
                <w:szCs w:val="24"/>
                <w:lang w:eastAsia="bg-BG"/>
              </w:rPr>
            </w:pPr>
          </w:p>
          <w:p w14:paraId="6F0D6743" w14:textId="77777777" w:rsidR="009C0430" w:rsidRDefault="00B27CD4">
            <w:pPr>
              <w:spacing w:before="120" w:after="120"/>
              <w:jc w:val="both"/>
              <w:rPr>
                <w:rFonts w:ascii="Times New Roman" w:eastAsia="Times New Roman" w:hAnsi="Times New Roman" w:cs="Times New Roman"/>
                <w:b/>
                <w:sz w:val="24"/>
                <w:szCs w:val="24"/>
                <w:u w:val="single"/>
                <w:lang w:eastAsia="bg-BG"/>
              </w:rPr>
            </w:pPr>
            <w:r>
              <w:rPr>
                <w:rFonts w:ascii="Times New Roman" w:eastAsia="Times New Roman" w:hAnsi="Times New Roman" w:cs="Times New Roman"/>
                <w:b/>
                <w:sz w:val="24"/>
                <w:szCs w:val="24"/>
                <w:u w:val="single"/>
                <w:lang w:eastAsia="bg-BG"/>
              </w:rPr>
              <w:t>Останалите полета в секция 6. Финансова информация – източници на финансиране са неприложими по настоящата процедура!</w:t>
            </w:r>
          </w:p>
          <w:p w14:paraId="703F59D1" w14:textId="77777777" w:rsidR="009C0430" w:rsidRDefault="00B27CD4">
            <w:pPr>
              <w:tabs>
                <w:tab w:val="left" w:pos="0"/>
              </w:tabs>
              <w:autoSpaceDE w:val="0"/>
              <w:autoSpaceDN w:val="0"/>
              <w:adjustRightInd w:val="0"/>
              <w:spacing w:after="12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ВАЖНО!</w:t>
            </w:r>
          </w:p>
          <w:p w14:paraId="49659718" w14:textId="77777777" w:rsidR="009C0430" w:rsidRDefault="00B27CD4">
            <w:pPr>
              <w:pStyle w:val="a0"/>
              <w:shd w:val="clear" w:color="auto" w:fill="E1ECF7"/>
              <w:spacing w:before="120" w:after="120"/>
              <w:ind w:left="0"/>
              <w:contextualSpacing w:val="0"/>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Попълването и на двете части от Формуляра за кандидатстване, отнасящи се до бюджета на проекта (секция 5. Бюджет и секция 6. Финансова информация – източници на финансиране) е задължително!</w:t>
            </w:r>
          </w:p>
          <w:p w14:paraId="59624A69" w14:textId="77777777" w:rsidR="009C0430" w:rsidRDefault="00B27CD4">
            <w:pPr>
              <w:shd w:val="clear" w:color="auto" w:fill="E1ECF7"/>
              <w:spacing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lastRenderedPageBreak/>
              <w:t xml:space="preserve">В Бюджета не се допуска наличието на разходи, които не са обосновани и обвързани с конкретна дейност от проектното </w:t>
            </w:r>
            <w:proofErr w:type="spellStart"/>
            <w:r>
              <w:rPr>
                <w:rFonts w:ascii="Times New Roman" w:eastAsia="Times New Roman" w:hAnsi="Times New Roman" w:cs="Times New Roman"/>
                <w:b/>
                <w:sz w:val="24"/>
                <w:szCs w:val="24"/>
                <w:lang w:eastAsia="bg-BG"/>
              </w:rPr>
              <w:t>предложение.Дейностите</w:t>
            </w:r>
            <w:proofErr w:type="spellEnd"/>
            <w:r>
              <w:rPr>
                <w:rFonts w:ascii="Times New Roman" w:eastAsia="Times New Roman" w:hAnsi="Times New Roman" w:cs="Times New Roman"/>
                <w:b/>
                <w:sz w:val="24"/>
                <w:szCs w:val="24"/>
                <w:lang w:eastAsia="bg-BG"/>
              </w:rPr>
              <w:t xml:space="preserve"> за организация и управление, и информация и комуникация не се описват в проектното предложение, а с подписването на Формуляра за кандидатстване, кандидатът се задължава, да ги извършва.</w:t>
            </w:r>
          </w:p>
          <w:p w14:paraId="2ACD7E0E" w14:textId="77777777" w:rsidR="009C0430" w:rsidRDefault="00B27CD4">
            <w:pPr>
              <w:shd w:val="clear" w:color="auto" w:fill="E1ECF7"/>
              <w:spacing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Всички останали разходи обхванати в бюджета на проекта, </w:t>
            </w:r>
            <w:r>
              <w:rPr>
                <w:rFonts w:ascii="Times New Roman" w:eastAsia="Times New Roman" w:hAnsi="Times New Roman" w:cs="Times New Roman"/>
                <w:b/>
                <w:bCs/>
                <w:sz w:val="24"/>
                <w:szCs w:val="24"/>
                <w:lang w:eastAsia="bg-BG"/>
              </w:rPr>
              <w:t xml:space="preserve">с изключение на непреките </w:t>
            </w:r>
            <w:proofErr w:type="spellStart"/>
            <w:r>
              <w:rPr>
                <w:rFonts w:ascii="Times New Roman" w:eastAsia="Times New Roman" w:hAnsi="Times New Roman" w:cs="Times New Roman"/>
                <w:b/>
                <w:bCs/>
                <w:sz w:val="24"/>
                <w:szCs w:val="24"/>
                <w:lang w:eastAsia="bg-BG"/>
              </w:rPr>
              <w:t>разходи,</w:t>
            </w:r>
            <w:r>
              <w:rPr>
                <w:rFonts w:ascii="Times New Roman" w:eastAsia="Times New Roman" w:hAnsi="Times New Roman" w:cs="Times New Roman"/>
                <w:b/>
                <w:sz w:val="24"/>
                <w:szCs w:val="24"/>
                <w:lang w:eastAsia="bg-BG"/>
              </w:rPr>
              <w:t>следва</w:t>
            </w:r>
            <w:proofErr w:type="spellEnd"/>
            <w:r>
              <w:rPr>
                <w:rFonts w:ascii="Times New Roman" w:eastAsia="Times New Roman" w:hAnsi="Times New Roman" w:cs="Times New Roman"/>
                <w:b/>
                <w:sz w:val="24"/>
                <w:szCs w:val="24"/>
                <w:lang w:eastAsia="bg-BG"/>
              </w:rPr>
              <w:t xml:space="preserve">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Осъществяването на тези цели се проследява чрез индикатори за изпълнение и резултат по всяка от дейностите. </w:t>
            </w:r>
          </w:p>
          <w:p w14:paraId="2869A5BF" w14:textId="77777777" w:rsidR="009C0430" w:rsidRDefault="00B27CD4">
            <w:pPr>
              <w:shd w:val="clear" w:color="auto" w:fill="E1ECF7"/>
              <w:spacing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Планираните в бюджета </w:t>
            </w:r>
            <w:proofErr w:type="spellStart"/>
            <w:r>
              <w:rPr>
                <w:rFonts w:ascii="Times New Roman" w:eastAsia="Times New Roman" w:hAnsi="Times New Roman" w:cs="Times New Roman"/>
                <w:b/>
                <w:sz w:val="24"/>
                <w:szCs w:val="24"/>
                <w:lang w:eastAsia="bg-BG"/>
              </w:rPr>
              <w:t>стойности</w:t>
            </w:r>
            <w:proofErr w:type="spellEnd"/>
            <w:r>
              <w:rPr>
                <w:rFonts w:ascii="Times New Roman" w:eastAsia="Times New Roman" w:hAnsi="Times New Roman" w:cs="Times New Roman"/>
                <w:b/>
                <w:sz w:val="24"/>
                <w:szCs w:val="24"/>
                <w:lang w:eastAsia="bg-BG"/>
              </w:rPr>
              <w:t xml:space="preserve"> следва да кореспондират с описанието на </w:t>
            </w:r>
            <w:proofErr w:type="spellStart"/>
            <w:r>
              <w:rPr>
                <w:rFonts w:ascii="Times New Roman" w:eastAsia="Times New Roman" w:hAnsi="Times New Roman" w:cs="Times New Roman"/>
                <w:b/>
                <w:sz w:val="24"/>
                <w:szCs w:val="24"/>
                <w:lang w:eastAsia="bg-BG"/>
              </w:rPr>
              <w:t>дейностите</w:t>
            </w:r>
            <w:proofErr w:type="spellEnd"/>
            <w:r>
              <w:rPr>
                <w:rFonts w:ascii="Times New Roman" w:eastAsia="Times New Roman" w:hAnsi="Times New Roman" w:cs="Times New Roman"/>
                <w:b/>
                <w:sz w:val="24"/>
                <w:szCs w:val="24"/>
                <w:lang w:eastAsia="bg-BG"/>
              </w:rPr>
              <w:t xml:space="preserve"> по проекта и етапите за тяхното изпълнение, като ресурсите </w:t>
            </w:r>
            <w:proofErr w:type="spellStart"/>
            <w:r>
              <w:rPr>
                <w:rFonts w:ascii="Times New Roman" w:eastAsia="Times New Roman" w:hAnsi="Times New Roman" w:cs="Times New Roman"/>
                <w:b/>
                <w:sz w:val="24"/>
                <w:szCs w:val="24"/>
                <w:lang w:eastAsia="bg-BG"/>
              </w:rPr>
              <w:t>заосъществяване</w:t>
            </w:r>
            <w:proofErr w:type="spellEnd"/>
            <w:r>
              <w:rPr>
                <w:rFonts w:ascii="Times New Roman" w:eastAsia="Times New Roman" w:hAnsi="Times New Roman" w:cs="Times New Roman"/>
                <w:b/>
                <w:sz w:val="24"/>
                <w:szCs w:val="24"/>
                <w:lang w:eastAsia="bg-BG"/>
              </w:rPr>
              <w:t xml:space="preserve"> на </w:t>
            </w:r>
            <w:proofErr w:type="spellStart"/>
            <w:r>
              <w:rPr>
                <w:rFonts w:ascii="Times New Roman" w:eastAsia="Times New Roman" w:hAnsi="Times New Roman" w:cs="Times New Roman"/>
                <w:b/>
                <w:sz w:val="24"/>
                <w:szCs w:val="24"/>
                <w:lang w:eastAsia="bg-BG"/>
              </w:rPr>
              <w:t>дейностите</w:t>
            </w:r>
            <w:proofErr w:type="spellEnd"/>
            <w:r>
              <w:rPr>
                <w:rFonts w:ascii="Times New Roman" w:eastAsia="Times New Roman" w:hAnsi="Times New Roman" w:cs="Times New Roman"/>
                <w:b/>
                <w:sz w:val="24"/>
                <w:szCs w:val="24"/>
                <w:lang w:eastAsia="bg-BG"/>
              </w:rPr>
              <w:t xml:space="preserve">, следва да бъдат планирани в подходящо количество и качество и при </w:t>
            </w:r>
            <w:proofErr w:type="spellStart"/>
            <w:r>
              <w:rPr>
                <w:rFonts w:ascii="Times New Roman" w:eastAsia="Times New Roman" w:hAnsi="Times New Roman" w:cs="Times New Roman"/>
                <w:b/>
                <w:sz w:val="24"/>
                <w:szCs w:val="24"/>
                <w:lang w:eastAsia="bg-BG"/>
              </w:rPr>
              <w:t>наи</w:t>
            </w:r>
            <w:proofErr w:type="spellEnd"/>
            <w:r>
              <w:rPr>
                <w:rFonts w:ascii="Times New Roman" w:eastAsia="Times New Roman" w:hAnsi="Times New Roman" w:cs="Times New Roman"/>
                <w:b/>
                <w:sz w:val="24"/>
                <w:szCs w:val="24"/>
                <w:lang w:eastAsia="bg-BG"/>
              </w:rPr>
              <w:t xml:space="preserve">̆-добра цена и описани подробно в описанието на съответната </w:t>
            </w:r>
            <w:proofErr w:type="spellStart"/>
            <w:r>
              <w:rPr>
                <w:rFonts w:ascii="Times New Roman" w:eastAsia="Times New Roman" w:hAnsi="Times New Roman" w:cs="Times New Roman"/>
                <w:b/>
                <w:sz w:val="24"/>
                <w:szCs w:val="24"/>
                <w:lang w:eastAsia="bg-BG"/>
              </w:rPr>
              <w:t>дейност</w:t>
            </w:r>
            <w:proofErr w:type="spellEnd"/>
            <w:r>
              <w:rPr>
                <w:rFonts w:ascii="Times New Roman" w:eastAsia="Times New Roman" w:hAnsi="Times New Roman" w:cs="Times New Roman"/>
                <w:b/>
                <w:sz w:val="24"/>
                <w:szCs w:val="24"/>
                <w:lang w:eastAsia="bg-BG"/>
              </w:rPr>
              <w:t>.</w:t>
            </w:r>
          </w:p>
          <w:p w14:paraId="78084EE0" w14:textId="77777777" w:rsidR="009C0430" w:rsidRDefault="00B27CD4">
            <w:pPr>
              <w:shd w:val="clear" w:color="auto" w:fill="E1ECF7"/>
              <w:spacing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tc>
      </w:tr>
    </w:tbl>
    <w:p w14:paraId="73BDCC65" w14:textId="77777777" w:rsidR="009C0430" w:rsidRDefault="00B27CD4">
      <w:pPr>
        <w:pStyle w:val="2"/>
      </w:pPr>
      <w:bookmarkStart w:id="58" w:name="_Toc445385594"/>
      <w:bookmarkStart w:id="59" w:name="_Toc488319657"/>
      <w:r>
        <w:lastRenderedPageBreak/>
        <w:t>14.3. Допустими разходи</w:t>
      </w:r>
      <w:bookmarkEnd w:id="58"/>
      <w:bookmarkEnd w:id="59"/>
    </w:p>
    <w:tbl>
      <w:tblPr>
        <w:tblStyle w:val="afe"/>
        <w:tblW w:w="9493" w:type="dxa"/>
        <w:tblLook w:val="04A0" w:firstRow="1" w:lastRow="0" w:firstColumn="1" w:lastColumn="0" w:noHBand="0" w:noVBand="1"/>
      </w:tblPr>
      <w:tblGrid>
        <w:gridCol w:w="9493"/>
      </w:tblGrid>
      <w:tr w:rsidR="009C0430" w14:paraId="0CAEBAB4" w14:textId="77777777">
        <w:tc>
          <w:tcPr>
            <w:tcW w:w="9493" w:type="dxa"/>
          </w:tcPr>
          <w:p w14:paraId="535724AB"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Допустими разходи по правилата на ЕСФ, съгласно разпоредбите на ЗУСЕСИФ и действащите подзаконови нормативни актове на Министерския съвет, които не противоречат на Закона (ПМС № 189/28.07.2016 г.).</w:t>
            </w:r>
          </w:p>
          <w:p w14:paraId="51269634"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Кандидатите попълват на етап подаване на проектно предложение само бюджетен ред 1./1.1 „Общи разходи“. Всички останали бюджетни редове се попълват служебно от оценителната комисия, съгласно одобрените допустими разходи в Приложение V “БЮДЖЕТ”. Приложимо и за двата варианта на отчитане на разходите.</w:t>
            </w:r>
          </w:p>
          <w:p w14:paraId="505D19D0"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I. РАЗХОДИ ЗА УСЛУГИ</w:t>
            </w:r>
          </w:p>
          <w:p w14:paraId="1EB420FF"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1./1.1. Общи разходи – ПОПЪЛВА СЕ ОТ КАНДИДАТА НА ЕТАП  ПОДАВАНЕ НА ПРОЕКТНОТО ПРЕДЛОЖЕНИЕ. </w:t>
            </w:r>
          </w:p>
          <w:p w14:paraId="7F62A7B5"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ВАРИАНТ 1</w:t>
            </w:r>
          </w:p>
          <w:p w14:paraId="06C8B921" w14:textId="77777777" w:rsidR="009C0430" w:rsidRDefault="009C0430">
            <w:pPr>
              <w:spacing w:before="120" w:after="240"/>
              <w:jc w:val="both"/>
              <w:rPr>
                <w:rFonts w:ascii="Times New Roman" w:eastAsia="Times New Roman" w:hAnsi="Times New Roman" w:cs="Times New Roman"/>
                <w:sz w:val="24"/>
                <w:szCs w:val="24"/>
                <w:lang w:eastAsia="bg-BG"/>
              </w:rPr>
            </w:pPr>
          </w:p>
          <w:p w14:paraId="5D72C987"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2. Разходи за възнаграждения </w:t>
            </w:r>
          </w:p>
          <w:p w14:paraId="17AA362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2.1. Разходи за трудови възнаграждения по реда на КТ и възнаграждения, определени по реда на ЗДСл на лицата, ангажирани пряко с изпълнението на финансираните преки дейности, включително всички дължими осигурителни вноски, начислени за сметка на осигурителя върху договореното възнаграждение и доплащания, съгласно националното законодателство и при спазване на Методологията за регламентиране на </w:t>
            </w:r>
            <w:r>
              <w:rPr>
                <w:rFonts w:ascii="Times New Roman" w:eastAsia="Times New Roman" w:hAnsi="Times New Roman" w:cs="Times New Roman"/>
                <w:sz w:val="24"/>
                <w:szCs w:val="24"/>
                <w:lang w:eastAsia="bg-BG"/>
              </w:rPr>
              <w:lastRenderedPageBreak/>
              <w:t>възнагражденията по ОП РЧР 2014-2020.</w:t>
            </w:r>
          </w:p>
          <w:p w14:paraId="77EB740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2.2. Разходи за възнаграждения по реда на КТ и възнаграждения по реда на ЗДСл на лицата, включени в субсидирана заетост при работодател. Разходите са допустими за срок до 6 месеца или до 12 месеца за силно уязвимите групи на пазара на труда (продължително безработни - регистрирани в дирекция „Бюро по труда“ повече от 12 месеца; хора над 54 г. възраст; хора с трайни увреждания).</w:t>
            </w:r>
          </w:p>
          <w:p w14:paraId="1ECEAA1A"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Стандартният размер на единичния разход на лице за месец се формира от:</w:t>
            </w:r>
          </w:p>
          <w:p w14:paraId="7960699B"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Разходи за възнаграждения в размер на 100 % от сумата на МОД за съответната длъжност, попадаща в обхвата на единичните групи професии от 2 до 9 клас от НКПД 2011 г., както и дължимите вноски за сметка на работодателя, съгласно ЗБДОО и ЗБ на НЗОК, за съответната година и ТЗПБ в размер на 0,4 %.</w:t>
            </w:r>
          </w:p>
          <w:p w14:paraId="02C04810"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 Възнаграждения по реда на чл. 40, ал. 5 от КСО за първите 3 работни дни от временната неработоспособност на лицето в размер на 70 % от дневното му възнаграждение (осигурителните вноски, начислени за сметка на работодателя не са допустими по процедурата),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14:paraId="25993EE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2.3 Разходи за възнаграждения на лицата, включени в обучения по време на работа/чиракуване и стажуване.</w:t>
            </w:r>
          </w:p>
          <w:p w14:paraId="030E89B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Стандартният размер на единичния разход на лице за месец се формира от:</w:t>
            </w:r>
          </w:p>
          <w:p w14:paraId="5FC54C7A"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Разходи за възнаграждения в размер на 100 % от сумата на МОД за съответната длъжност, попадаща в обхвата на единичните групи професии от 2 до 9 клас от НКПД 2011 г., както и дължимите вноски за сметка на работодателя, съгласно ЗБДОО и ЗБ на НЗОК, за съответната година и ТЗПБ в размер на 0,4 % за лицата, включени в стажуване. Разходите са допустими за период </w:t>
            </w:r>
            <w:r w:rsidR="001471F6" w:rsidRPr="001471F6">
              <w:rPr>
                <w:rFonts w:ascii="Times New Roman" w:eastAsia="Times New Roman" w:hAnsi="Times New Roman" w:cs="Times New Roman"/>
                <w:sz w:val="24"/>
                <w:szCs w:val="24"/>
                <w:lang w:eastAsia="bg-BG"/>
              </w:rPr>
              <w:t xml:space="preserve">от 6 месеца до 12 </w:t>
            </w:r>
            <w:proofErr w:type="spellStart"/>
            <w:r w:rsidR="001471F6" w:rsidRPr="001471F6">
              <w:rPr>
                <w:rFonts w:ascii="Times New Roman" w:eastAsia="Times New Roman" w:hAnsi="Times New Roman" w:cs="Times New Roman"/>
                <w:sz w:val="24"/>
                <w:szCs w:val="24"/>
                <w:lang w:eastAsia="bg-BG"/>
              </w:rPr>
              <w:t>месеца</w:t>
            </w:r>
            <w:r w:rsidR="001471F6">
              <w:rPr>
                <w:rFonts w:ascii="Times New Roman" w:eastAsia="Times New Roman" w:hAnsi="Times New Roman" w:cs="Times New Roman"/>
                <w:sz w:val="24"/>
                <w:szCs w:val="24"/>
                <w:lang w:eastAsia="bg-BG"/>
              </w:rPr>
              <w:t>,</w:t>
            </w:r>
            <w:r w:rsidR="001471F6" w:rsidRPr="001471F6">
              <w:rPr>
                <w:rFonts w:ascii="Times New Roman" w:eastAsia="Times New Roman" w:hAnsi="Times New Roman" w:cs="Times New Roman"/>
                <w:sz w:val="24"/>
                <w:szCs w:val="24"/>
                <w:lang w:eastAsia="bg-BG"/>
              </w:rPr>
              <w:t>съгласно</w:t>
            </w:r>
            <w:proofErr w:type="spellEnd"/>
            <w:r w:rsidR="001471F6" w:rsidRPr="001471F6">
              <w:rPr>
                <w:rFonts w:ascii="Times New Roman" w:eastAsia="Times New Roman" w:hAnsi="Times New Roman" w:cs="Times New Roman"/>
                <w:sz w:val="24"/>
                <w:szCs w:val="24"/>
                <w:lang w:eastAsia="bg-BG"/>
              </w:rPr>
              <w:t xml:space="preserve"> чл. 233б(3) от КТ</w:t>
            </w:r>
            <w:r>
              <w:rPr>
                <w:rFonts w:ascii="Times New Roman" w:eastAsia="Times New Roman" w:hAnsi="Times New Roman" w:cs="Times New Roman"/>
                <w:sz w:val="24"/>
                <w:szCs w:val="24"/>
                <w:lang w:eastAsia="bg-BG"/>
              </w:rPr>
              <w:t>.</w:t>
            </w:r>
          </w:p>
          <w:p w14:paraId="2F13C3DC"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Разходи за възнаграждения в размер на 90 % от сумата на минималната работна заплата за страната за съответната година, както и дължимите вноски за сметка на работодателя, съгласно ЗБДОО и ЗБ на НЗОК, за съответната година и ТЗПБ в размер на 0,4 % за лицата, включени в обучение по време на работа/чиракуване. Разходите са допустими за период до 6 месеца</w:t>
            </w:r>
            <w:r w:rsidR="00892951">
              <w:rPr>
                <w:rFonts w:ascii="Times New Roman" w:eastAsia="Times New Roman" w:hAnsi="Times New Roman" w:cs="Times New Roman"/>
                <w:sz w:val="24"/>
                <w:szCs w:val="24"/>
                <w:lang w:eastAsia="bg-BG"/>
              </w:rPr>
              <w:t>.</w:t>
            </w:r>
          </w:p>
          <w:p w14:paraId="244D89B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 Възнаграждения по реда на чл. 40, ал. 5 от КСО за първите 3 работни дни от временната неработоспособност на лицето в размер на 70 % от дневното му възнаграждение (осигурителните вноски, начислени за сметка на работодателя не са допустими по процедурата),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14:paraId="4DAA080D"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Допустимо е кандидатите да планират резерв до 3 месечни възнаграждения на лице на база МОД за съответната длъжност/ 90 % МРЗ, който да бъде използван за </w:t>
            </w:r>
            <w:r>
              <w:rPr>
                <w:rFonts w:ascii="Times New Roman" w:eastAsia="Times New Roman" w:hAnsi="Times New Roman" w:cs="Times New Roman"/>
                <w:b/>
                <w:sz w:val="24"/>
                <w:szCs w:val="24"/>
                <w:lang w:eastAsia="bg-BG"/>
              </w:rPr>
              <w:lastRenderedPageBreak/>
              <w:t>покриване на:</w:t>
            </w:r>
          </w:p>
          <w:p w14:paraId="0F03C640"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Обезщетение за неползван платен годишен отпуск, съгласно чл. 224 от КТ;</w:t>
            </w:r>
          </w:p>
          <w:p w14:paraId="1ED92B7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Разлика във връзка с увеличаване на размера на МОД/МРЗ, съгласно националното законодателство;</w:t>
            </w:r>
          </w:p>
          <w:p w14:paraId="0C65402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Разходи за обезщетения, съгласно чл. 222, ал. 3 от КТ при прекратяване на трудовото правоотношение, след като работникът или служителят е придобил право на пенсия за осигурителен стаж и възраст (ако е приложимо). Обезщетението е допустимо в размер на брутното трудово възнаграждение на работника, определено по проекта, за срок от 2 месеца.</w:t>
            </w:r>
          </w:p>
          <w:p w14:paraId="235A3245"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описанието на дейностите по проекта планираният резерв следва да бъде подробно описан и разграничен от разходите за възнаграждения, определени на база стандартна таблица на разходите за единица продукт.</w:t>
            </w:r>
          </w:p>
          <w:p w14:paraId="5647335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2.4. Разходи за възнаграждения на наставниците на лицата от целевата група.</w:t>
            </w:r>
          </w:p>
          <w:p w14:paraId="04898C3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Стандартният размер на единичния разход на лице за месец се формира от: </w:t>
            </w:r>
          </w:p>
          <w:p w14:paraId="2BD5CEC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Разходите за възнаграждения в размер на ½ от минималната работна заплата, установена за страната. Разходите са допустими за период до 3 месеца. По процедурата не са допустими осигурителните вноски, начислени за сметка на работодателя.</w:t>
            </w:r>
          </w:p>
          <w:p w14:paraId="4469D71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за възнаграждения, определени на база стандартна таблица за единица продукт (</w:t>
            </w:r>
            <w:proofErr w:type="spellStart"/>
            <w:r>
              <w:rPr>
                <w:rFonts w:ascii="Times New Roman" w:eastAsia="Times New Roman" w:hAnsi="Times New Roman" w:cs="Times New Roman"/>
                <w:sz w:val="24"/>
                <w:szCs w:val="24"/>
                <w:lang w:eastAsia="bg-BG"/>
              </w:rPr>
              <w:t>б.р</w:t>
            </w:r>
            <w:proofErr w:type="spellEnd"/>
            <w:r>
              <w:rPr>
                <w:rFonts w:ascii="Times New Roman" w:eastAsia="Times New Roman" w:hAnsi="Times New Roman" w:cs="Times New Roman"/>
                <w:sz w:val="24"/>
                <w:szCs w:val="24"/>
                <w:lang w:eastAsia="bg-BG"/>
              </w:rPr>
              <w:t xml:space="preserve">. 2.2. – 2.4.), се възстановяват само за реално отработените дни, вкл. и дните, в които лицето е ползвало платен годишен отпуск и отпуск поради временна нетрудоспособност. </w:t>
            </w:r>
          </w:p>
          <w:p w14:paraId="2B6CAB4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2.5. Разходи за стипендии на обучаващите се лица от целевата група в размер на 10,00 лв. за всеки присъствен учебен ден в населеното място и по 15,00 лв. за всеки присъствен учебен ден извън населеното място (минимум 6 учебни часа дневно). Допустими са при обучение на неактивни или безработни лица. Не са допустими за обучението по време на работа/чиракуване.</w:t>
            </w:r>
          </w:p>
          <w:p w14:paraId="02F37F30" w14:textId="77777777" w:rsidR="009C0430" w:rsidRDefault="009C0430">
            <w:pPr>
              <w:spacing w:before="120" w:after="240"/>
              <w:jc w:val="both"/>
              <w:rPr>
                <w:rFonts w:ascii="Times New Roman" w:eastAsia="Times New Roman" w:hAnsi="Times New Roman" w:cs="Times New Roman"/>
                <w:sz w:val="24"/>
                <w:szCs w:val="24"/>
                <w:lang w:eastAsia="bg-BG"/>
              </w:rPr>
            </w:pPr>
          </w:p>
          <w:p w14:paraId="52631759"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Разходите по б. р. 2.2. - 2.5. се определят на база стандартна таблица на разходите за единица продукт, съгласно чл. 67, (1), т. б от Регламент 1303/2013 г.</w:t>
            </w:r>
          </w:p>
          <w:p w14:paraId="3E83930B"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Стандартният размер на единичния разход за лице се определя съгласно заложените работни дни за съответната година, КИД на предприятието, в който ще бъде назначено лицето, кода на длъжността, съгласно НКПД 2011, минималния осигурителен доход, минималната работна заплата, осигурителните вноски за сметка на работодателя за съответната година. </w:t>
            </w:r>
          </w:p>
          <w:p w14:paraId="58ACD21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Разходите за възнаграждения, определени на база стандартна таблица за единица продукт се възстановяват само за реално отработени дни (за 8 часов работен ден), вкл. и дните, в които лицето е ползвало платен годишен отпуск. В случай че лицата се назначат на </w:t>
            </w:r>
            <w:r>
              <w:rPr>
                <w:rFonts w:ascii="Times New Roman" w:eastAsia="Times New Roman" w:hAnsi="Times New Roman" w:cs="Times New Roman"/>
                <w:sz w:val="24"/>
                <w:szCs w:val="24"/>
                <w:lang w:eastAsia="bg-BG"/>
              </w:rPr>
              <w:lastRenderedPageBreak/>
              <w:t>непълен работен ден, размерът на възнаграждението се изчислява пропорционално.</w:t>
            </w:r>
          </w:p>
          <w:p w14:paraId="7904353C"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3. Разходи за командировки</w:t>
            </w:r>
          </w:p>
          <w:p w14:paraId="317B352F"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3.1.Разходи за командировки /дневни, пътни и квартирни/ на лицата, получаващи възнаграждения по бюджетен ред 2/2.1.</w:t>
            </w:r>
          </w:p>
          <w:p w14:paraId="5EB4259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по бюджетен ред 3/3.1. са допустими, в случай че са пряко свързани с финансираните дейности и доказано необходими за постигане на поставените цели, подробно описани и обосновани в дейностите по проектното предложение.</w:t>
            </w:r>
          </w:p>
          <w:p w14:paraId="4013D433" w14:textId="77777777" w:rsidR="00CA6925" w:rsidRDefault="00CA6925">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ВАЖНО:</w:t>
            </w:r>
          </w:p>
          <w:p w14:paraId="53C06C0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бюджетно перо 3/3.1. не следва да се отчитат разходи, свързани с транспортни услуги. Разходите за командировки следва да са съобразени с ограниченията, съгласно Наредбата за командировките в страната, както и при избор на най-икономичен маршрут и превозно средство. Разходите за нощувки -  се определят в съответствие с утвърдените нормативи в институциите/организациите – бенефициент и/или партньор.</w:t>
            </w:r>
          </w:p>
          <w:p w14:paraId="17FD885D"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4. Разходи за обучения</w:t>
            </w:r>
          </w:p>
          <w:p w14:paraId="74650B4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4.1. Разходи за мотивационни обучения.</w:t>
            </w:r>
          </w:p>
          <w:p w14:paraId="636DDB0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се определят на база стандартна таблица на разходите за единица продукт, съгласно чл. 67, (1), т. б от Регламент 1303/2013 г.</w:t>
            </w:r>
          </w:p>
          <w:p w14:paraId="0877DBA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Стандартната таблица на разхода за единица продукт е в размер на 80 лв. за 30 учебни часа на лице, включено в мотивационно обучение. </w:t>
            </w:r>
          </w:p>
          <w:p w14:paraId="79318BA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стойността на обучението се включват всички присъщи разходи във връзка с обучението – разходи за учебни материали, консумативи, издаване на документи за завършено обучение, възнаграждение на преподаватели, осигуровки, наеми, режийни и други разходи, свързани с предоставянето на обучението.</w:t>
            </w:r>
          </w:p>
          <w:p w14:paraId="7CC7492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4.2. Разходи за обучения по професионална квалификация - включват се разходите за обучения по професионална квалификация при спазване на заложените в т. 13.2 от Условията за кандидатстване допустими размери на безвъзмездната финансова помощ за всеки вид обучение. </w:t>
            </w:r>
          </w:p>
          <w:p w14:paraId="044F368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4.3. Разходи за обучения по ключови компетентности - включват се разходите за обучения по ключови компетентности при спазване на заложените в т. 13.2 от Условията за кандидатстване допустими размери на безвъзмездната финансова помощ за всеки вид обучение. </w:t>
            </w:r>
          </w:p>
          <w:p w14:paraId="6DEB207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по бюджетни редове 4.2. и 4.3. са определени на база стандартна таблица на разходите за единица продукт, съгласно чл. 67, (1), т. б от Регламент 1303/2013 г.</w:t>
            </w:r>
          </w:p>
          <w:p w14:paraId="7049967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Разходите за повишаване на професионална квалификация и/или придобиване на нова и </w:t>
            </w:r>
            <w:r>
              <w:rPr>
                <w:rFonts w:ascii="Times New Roman" w:eastAsia="Times New Roman" w:hAnsi="Times New Roman" w:cs="Times New Roman"/>
                <w:sz w:val="24"/>
                <w:szCs w:val="24"/>
                <w:lang w:eastAsia="bg-BG"/>
              </w:rPr>
              <w:lastRenderedPageBreak/>
              <w:t>за придобиване на ключови компетентности са, както следва:</w:t>
            </w:r>
          </w:p>
          <w:p w14:paraId="521E9BF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за обучения за придобиване на професионална квалификация:</w:t>
            </w:r>
          </w:p>
          <w:p w14:paraId="7B521DE1"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 за първа степен, с продължителност не по-малка от 300 учебни часа - 600 лв.;</w:t>
            </w:r>
          </w:p>
          <w:p w14:paraId="18514810"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 за втора степен, с продължителност не по-малка от 660 учебни часа - 1200 лв.;</w:t>
            </w:r>
          </w:p>
          <w:p w14:paraId="0146431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за трета степен, с продължителност не по-малка от 960 учебни часа - 1800 лв.;</w:t>
            </w:r>
          </w:p>
          <w:p w14:paraId="7F88827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 за част от професия по първа квалификационна степен, с продължителност не по-малка от 200 учебни часа - 400 лв.;</w:t>
            </w:r>
          </w:p>
          <w:p w14:paraId="33015F5B"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 за част от професия по втора квалификационна степен, с продължителност не по-малка от 300 учебни часа - 600 лв.;</w:t>
            </w:r>
          </w:p>
          <w:p w14:paraId="56B3E28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е) за част от професия по трета квалификационна степен, с продължителност не по-малка от 600 учебни часа - 1125 лв.</w:t>
            </w:r>
          </w:p>
          <w:p w14:paraId="4E061EEC"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за обучения за придобиване на ключови компетентности:</w:t>
            </w:r>
          </w:p>
          <w:p w14:paraId="5BDD215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 за обучения по ключова компетентност 1 - общуване на роден език  с продължителност не по-малка от 16 учебни часа - 70 лв.;</w:t>
            </w:r>
          </w:p>
          <w:p w14:paraId="4D541B9B"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 за обучения по ключова компетентност 2 – общуване на чужд език с продължителност не по-малка от 300 учебни часа за три нива на обучение - 700 лв.;</w:t>
            </w:r>
          </w:p>
          <w:p w14:paraId="2EB3FAD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за обучения по ключова компетентност 3 - математическа компетентност и основни знания в областта на природните науки и технологиите с продължителност не по-малка от 30 учебни часа - 140 лв.;</w:t>
            </w:r>
          </w:p>
          <w:p w14:paraId="49AA519C"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 за обучения по ключова компетентност 4 - дигитална компетентност с продължителност не по-малка от 45 учебни часа - 250 лв.;</w:t>
            </w:r>
          </w:p>
          <w:p w14:paraId="2609A92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 за обучения по ключови компетентност 5 - умение за учене с продължителност не по-малка от 30 учебни часа - 140 лв.;</w:t>
            </w:r>
          </w:p>
          <w:p w14:paraId="5BAB5B6A"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е) за обучения по ключови компетентност 6 обществени и граждански компетентности с продължителност не по-малка от 30 учебни часа - 140 лв.;</w:t>
            </w:r>
          </w:p>
          <w:p w14:paraId="57DEE35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ж) за обучения по ключови компетентност 7 инициативност и предприемачество с продължителност не по-малка от 30 учебни часа - 140 лв.</w:t>
            </w:r>
          </w:p>
          <w:p w14:paraId="1CC3BD9F"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стойността на единица продукт – обучение са включени всички присъщи разходи за него, както следва: разходи за оригинални учебни материали, консумативи, застраховки при обучение за професионална квалификация, издаване на документ за завършено обучение, възнаграждение на преподаватели, осигуровки, наем на материално техническа база, както и всички административни, режийни и други разходи, включително разходи за осъществяване на дейността свързана с предоставянето на обучението/ята.</w:t>
            </w:r>
          </w:p>
          <w:p w14:paraId="1C4E47C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В случай че кандидатът заложи стойности, различни от посочените (цена и продължителност), оценителната комисия служебно ще извърши съответната корекция – приложимо за всички обучения, посочени в </w:t>
            </w:r>
            <w:proofErr w:type="spellStart"/>
            <w:r>
              <w:rPr>
                <w:rFonts w:ascii="Times New Roman" w:eastAsia="Times New Roman" w:hAnsi="Times New Roman" w:cs="Times New Roman"/>
                <w:sz w:val="24"/>
                <w:szCs w:val="24"/>
                <w:lang w:eastAsia="bg-BG"/>
              </w:rPr>
              <w:t>б.р</w:t>
            </w:r>
            <w:proofErr w:type="spellEnd"/>
            <w:r>
              <w:rPr>
                <w:rFonts w:ascii="Times New Roman" w:eastAsia="Times New Roman" w:hAnsi="Times New Roman" w:cs="Times New Roman"/>
                <w:sz w:val="24"/>
                <w:szCs w:val="24"/>
                <w:lang w:eastAsia="bg-BG"/>
              </w:rPr>
              <w:t>. 4.1-4.3.</w:t>
            </w:r>
          </w:p>
          <w:p w14:paraId="0223FD3A"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5. Разходи за други услуги</w:t>
            </w:r>
          </w:p>
          <w:p w14:paraId="39B65770"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5.1. Разходи за изпълнение на дейностите по Направление </w:t>
            </w:r>
            <w:r>
              <w:rPr>
                <w:rFonts w:ascii="Times New Roman" w:eastAsia="Times New Roman" w:hAnsi="Times New Roman" w:cs="Times New Roman"/>
                <w:sz w:val="24"/>
                <w:szCs w:val="24"/>
                <w:lang w:val="en-US" w:eastAsia="bg-BG"/>
              </w:rPr>
              <w:t>IV</w:t>
            </w:r>
            <w:r>
              <w:rPr>
                <w:rFonts w:ascii="Times New Roman" w:eastAsia="Times New Roman" w:hAnsi="Times New Roman" w:cs="Times New Roman"/>
                <w:sz w:val="24"/>
                <w:szCs w:val="24"/>
                <w:lang w:eastAsia="bg-BG"/>
              </w:rPr>
              <w:t xml:space="preserve">. </w:t>
            </w:r>
          </w:p>
          <w:p w14:paraId="2345347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Тук се включват всички разходи, необходими за изпълнение на допустимите дейности  по Направление IV, включително трудовите възнаграждения и командировките на експертите, които ще участват в изпълнението на тези дейности. </w:t>
            </w:r>
          </w:p>
          <w:p w14:paraId="30FA7C5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изпълнението на допустимите дейности по Направление IV „Развитие на местните общности и преодоляване на негативните стереотипи“ са допустими разходи в размер на не повече от 10% от  общите допустими разходи по проекта.</w:t>
            </w:r>
          </w:p>
          <w:p w14:paraId="1481F26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5.2. Разходи за застраховки и трудова медицина на лицата от целевата група, включени в субсидирана заетост при работодател по Направление 1 за срок не по-дълъг от срока на заетостта и разходи за застраховка на закупеното обзавеждане и оборудване по проекта - разходите следва да бъдат планирани при спазване разпоредбите на чл. 20, ал.1 от ПМС № 189/28.07.2016 г. и за срок не по-дълъг от срока на изпълнение на проекта.</w:t>
            </w:r>
          </w:p>
          <w:p w14:paraId="583CFB2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5.3. Разходи, произтичащи от договори за изработка/услуга или договори за поръчка по реда на ЗЗД, неквалифицирани другаде.</w:t>
            </w:r>
          </w:p>
          <w:p w14:paraId="367B3D8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случаите, в които планираните разходи в бюджетен ред 5. „Разходи за други услуги” се предвижда да бъдат възложени на физически лица и са под праговете за провеждане на процедури, определени в Закона за обществените поръчки и ПМС 160/01.07.2016г., възнаграждението следва да бъде заложено при спазване на разпоредбите на Методологията за регламентиране на възнагражденията по ОП РЧР 2014 – 2020, като размерът на почасовото заплащане на наетите по проекта лица не може да бъде по-висок от размера на почасовото им заплащане, определен с акта за назначаването им или с основния им трудов договор и да бъде по-висок от стойностите,  заложени в Таблицата за определяне на допустимите почасови ставки – Приложение за информация към Условията за кандидатстване. Това не ограничава на етап изпълнение, планираните по този начин разходи, да бъдат възложени и на юридически лица при определените в бюджета стойности.</w:t>
            </w:r>
          </w:p>
          <w:p w14:paraId="30F3B597"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ІІ. РАЗХОДИ ЗА МАТЕРИАЛИ</w:t>
            </w:r>
          </w:p>
          <w:p w14:paraId="108A2405"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6. Разходи за материали и консумативи</w:t>
            </w:r>
          </w:p>
          <w:p w14:paraId="1E949635"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6.1. Разходи за материали и консумативи, необходими за изпълнение на дейностите по проекта – следва да са пряко свързани с финансираните дейности и необходими за постигане на поставените цели, както и добре обосновани в проектното предложение.</w:t>
            </w:r>
          </w:p>
          <w:p w14:paraId="4553202F"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ІІІ. РАЗХОДИ ЗА МАТЕРИАЛНИ АКТИВИ </w:t>
            </w:r>
          </w:p>
          <w:p w14:paraId="21067601"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lastRenderedPageBreak/>
              <w:t>7. Разходи за материални активи</w:t>
            </w:r>
          </w:p>
          <w:p w14:paraId="0FE9D06B" w14:textId="77777777" w:rsidR="009C0430" w:rsidRPr="00CA6925" w:rsidRDefault="00B27CD4" w:rsidP="00CA6925">
            <w:pPr>
              <w:spacing w:before="120" w:after="240" w:line="259" w:lineRule="auto"/>
              <w:jc w:val="both"/>
            </w:pPr>
            <w:r>
              <w:rPr>
                <w:rFonts w:ascii="Times New Roman" w:eastAsia="Times New Roman" w:hAnsi="Times New Roman" w:cs="Times New Roman"/>
                <w:sz w:val="24"/>
                <w:szCs w:val="24"/>
                <w:lang w:eastAsia="bg-BG"/>
              </w:rPr>
              <w:t xml:space="preserve">7.1. Разходи за обзавеждане и оборудване – в размер до </w:t>
            </w:r>
            <w:r w:rsidR="00CA6925">
              <w:rPr>
                <w:rFonts w:ascii="Times New Roman" w:eastAsia="Times New Roman" w:hAnsi="Times New Roman" w:cs="Times New Roman"/>
                <w:sz w:val="24"/>
                <w:szCs w:val="24"/>
                <w:lang w:eastAsia="bg-BG"/>
              </w:rPr>
              <w:t xml:space="preserve">20 </w:t>
            </w:r>
            <w:r>
              <w:rPr>
                <w:rFonts w:ascii="Times New Roman" w:eastAsia="Times New Roman" w:hAnsi="Times New Roman" w:cs="Times New Roman"/>
                <w:sz w:val="24"/>
                <w:szCs w:val="24"/>
                <w:lang w:eastAsia="bg-BG"/>
              </w:rPr>
              <w:t xml:space="preserve">% от преките допустими разходи по проекта. Допустими са разходи за материални активи за помещенията, в които ще се предоставят услугите/изпълняват преките дейности по проекта. Тези разходи следва да са пряко свързани с финансираните дейности и необходими за постигане на поставените цели, както и подробно описани и обосновани в дейностите по </w:t>
            </w:r>
            <w:proofErr w:type="spellStart"/>
            <w:r>
              <w:rPr>
                <w:rFonts w:ascii="Times New Roman" w:eastAsia="Times New Roman" w:hAnsi="Times New Roman" w:cs="Times New Roman"/>
                <w:sz w:val="24"/>
                <w:szCs w:val="24"/>
                <w:lang w:eastAsia="bg-BG"/>
              </w:rPr>
              <w:t>проекта.</w:t>
            </w:r>
            <w:r w:rsidR="00CA6925" w:rsidRPr="00CA6925">
              <w:rPr>
                <w:rFonts w:ascii="Times New Roman" w:eastAsia="Times New Roman" w:hAnsi="Times New Roman" w:cs="Times New Roman"/>
                <w:sz w:val="24"/>
                <w:szCs w:val="24"/>
                <w:lang w:eastAsia="bg-BG"/>
              </w:rPr>
              <w:t>Врамките</w:t>
            </w:r>
            <w:proofErr w:type="spellEnd"/>
            <w:r w:rsidR="00CA6925" w:rsidRPr="00CA6925">
              <w:rPr>
                <w:rFonts w:ascii="Times New Roman" w:eastAsia="Times New Roman" w:hAnsi="Times New Roman" w:cs="Times New Roman"/>
                <w:sz w:val="24"/>
                <w:szCs w:val="24"/>
                <w:lang w:eastAsia="bg-BG"/>
              </w:rPr>
              <w:t xml:space="preserve"> на този процент не са допустими разходи за </w:t>
            </w:r>
            <w:proofErr w:type="spellStart"/>
            <w:r w:rsidR="00CA6925" w:rsidRPr="00CA6925">
              <w:rPr>
                <w:rFonts w:ascii="Times New Roman" w:eastAsia="Times New Roman" w:hAnsi="Times New Roman" w:cs="Times New Roman"/>
                <w:sz w:val="24"/>
                <w:szCs w:val="24"/>
                <w:lang w:eastAsia="bg-BG"/>
              </w:rPr>
              <w:t>оборудванена</w:t>
            </w:r>
            <w:proofErr w:type="spellEnd"/>
            <w:r w:rsidR="00CA6925" w:rsidRPr="00CA6925">
              <w:rPr>
                <w:rFonts w:ascii="Times New Roman" w:eastAsia="Times New Roman" w:hAnsi="Times New Roman" w:cs="Times New Roman"/>
                <w:sz w:val="24"/>
                <w:szCs w:val="24"/>
                <w:lang w:eastAsia="bg-BG"/>
              </w:rPr>
              <w:t xml:space="preserve"> работното място за лицата, които ще се назначават на субсидирана заетост.</w:t>
            </w:r>
          </w:p>
          <w:p w14:paraId="17ED5A5C" w14:textId="77777777" w:rsidR="009C0430" w:rsidRDefault="00B27CD4">
            <w:pPr>
              <w:spacing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ІV. РАЗХОДИ ЗА НЕМАТЕРИАЛНИ АКТИВИ</w:t>
            </w:r>
          </w:p>
          <w:p w14:paraId="07B04BD3" w14:textId="77777777" w:rsidR="009C0430" w:rsidRDefault="00B27CD4">
            <w:pPr>
              <w:spacing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8. Разходи за нематериални активи</w:t>
            </w:r>
          </w:p>
          <w:p w14:paraId="11598D4F"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8.1. Разходи за нематериални активи. Тези разходи следва да са пряко свързани с финансираните дейности и необходими за постигане на поставените цели, както и подробно описани и обосновани в дейностите по проекта.</w:t>
            </w:r>
          </w:p>
          <w:p w14:paraId="338ED742"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V. ЕДИННА СТАВКА</w:t>
            </w:r>
          </w:p>
          <w:p w14:paraId="09E4C45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9./ 9.1. Непреки разходи</w:t>
            </w:r>
            <w:r>
              <w:rPr>
                <w:rFonts w:ascii="Times New Roman" w:eastAsia="Times New Roman" w:hAnsi="Times New Roman" w:cs="Times New Roman"/>
                <w:sz w:val="24"/>
                <w:szCs w:val="24"/>
                <w:lang w:eastAsia="bg-BG"/>
              </w:rPr>
              <w:t xml:space="preserve"> - тези разходи са в размер точно на 10 % от преките допустими разходи по проекта.</w:t>
            </w:r>
          </w:p>
          <w:p w14:paraId="284DDEE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w:t>
            </w:r>
          </w:p>
          <w:p w14:paraId="4E6D29D2"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ВАРИАНТ II </w:t>
            </w:r>
          </w:p>
          <w:p w14:paraId="4CEA3854"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I. РАЗХОДИ ЗА УСЛУГИ</w:t>
            </w:r>
          </w:p>
          <w:p w14:paraId="507FBC97"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 2. Разходи за възнаграждения </w:t>
            </w:r>
          </w:p>
          <w:p w14:paraId="4F72D10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2.2. Разходи за възнаграждения по реда на КТ и възнаграждения по реда на ЗДСл на лицата, включени в субсидирана заетост при работодател. Разходите са допустими за срок до 6 месеца или до 12 месеца за силно уязвимите групи на пазара на труда (</w:t>
            </w:r>
            <w:r w:rsidR="00DB4CFA" w:rsidRPr="00DB4CFA">
              <w:rPr>
                <w:rFonts w:ascii="Times New Roman" w:eastAsia="Times New Roman" w:hAnsi="Times New Roman" w:cs="Times New Roman"/>
                <w:sz w:val="24"/>
                <w:szCs w:val="24"/>
                <w:highlight w:val="yellow"/>
                <w:lang w:eastAsia="bg-BG"/>
              </w:rPr>
              <w:t>продължително безработни - регистрирани в дирекция „Бюро по труда“ повече от 12 месеца; хора над 54 г. възраст; хора с трайни увреждания, безработни/неактивни лица с ниско образование /под средното/, вкл. и без никаква професия, безработни/неактивни лица от ромски произход).</w:t>
            </w:r>
          </w:p>
          <w:p w14:paraId="02CA1A7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Стандартният размер на единичния разход на лице за месец се формира от:</w:t>
            </w:r>
          </w:p>
          <w:p w14:paraId="1E670D8C"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Разходи за възнаграждения в размер на 100 % от сумата на МОД за съответната длъжност, попадаща в обхвата на единичните групи професии от 2 до 9 клас от НКПД 2011 г., както и дължимите вноски за сметка на работодателя, съгласно ЗБДОО и ЗБ на НЗОК, за съответната година и ТЗПБ в размер на 0,4 %.</w:t>
            </w:r>
          </w:p>
          <w:p w14:paraId="727F690F"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 Възнаграждения по реда на чл. 40, ал. 5 от КСО за първите 3 работни дни от временната неработоспособност на лицето в размер на 70 % от дневното му </w:t>
            </w:r>
            <w:r>
              <w:rPr>
                <w:rFonts w:ascii="Times New Roman" w:eastAsia="Times New Roman" w:hAnsi="Times New Roman" w:cs="Times New Roman"/>
                <w:sz w:val="24"/>
                <w:szCs w:val="24"/>
                <w:lang w:eastAsia="bg-BG"/>
              </w:rPr>
              <w:lastRenderedPageBreak/>
              <w:t>възнаграждение (осигурителните вноски, начислени за сметка на работодателя не са допустими по процедурата),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14:paraId="1CEE53F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2.3 Разходи за възнаграждения за лицата, включени в обучения по време на работа/чиракуване и стажуване.</w:t>
            </w:r>
          </w:p>
          <w:p w14:paraId="7E17292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Стандартният размер на единичния разход на лице за месец се формира от:</w:t>
            </w:r>
          </w:p>
          <w:p w14:paraId="5993A160" w14:textId="77777777" w:rsidR="009C0430" w:rsidRDefault="00B27CD4" w:rsidP="00F13003">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Разходи за възнаграждения в размер на 100 % от сумата на МОД за съответната длъжност, попадаща в обхвата на единичните групи професии от 2 до 9 клас от НКПД 2011 г., както и дължимите вноски за сметка на работодателя, съгласно ЗБДОО и ЗБ на НЗОК, за съответната година и ТЗПБ в размер на 0,4 % за лицата, включени в стажуване. </w:t>
            </w:r>
            <w:r w:rsidR="00F13003" w:rsidRPr="00F13003">
              <w:rPr>
                <w:rFonts w:ascii="Times New Roman" w:eastAsia="Times New Roman" w:hAnsi="Times New Roman" w:cs="Times New Roman"/>
                <w:sz w:val="24"/>
                <w:szCs w:val="24"/>
                <w:lang w:eastAsia="bg-BG"/>
              </w:rPr>
              <w:t>Разходите са допустими за период от 6 месец</w:t>
            </w:r>
            <w:r w:rsidR="00F13003">
              <w:rPr>
                <w:rFonts w:ascii="Times New Roman" w:eastAsia="Times New Roman" w:hAnsi="Times New Roman" w:cs="Times New Roman"/>
                <w:sz w:val="24"/>
                <w:szCs w:val="24"/>
                <w:lang w:eastAsia="bg-BG"/>
              </w:rPr>
              <w:t xml:space="preserve">а до 12 месеца, съгласно чл.233 </w:t>
            </w:r>
            <w:r w:rsidR="00F13003" w:rsidRPr="00F13003">
              <w:rPr>
                <w:rFonts w:ascii="Times New Roman" w:eastAsia="Times New Roman" w:hAnsi="Times New Roman" w:cs="Times New Roman"/>
                <w:sz w:val="24"/>
                <w:szCs w:val="24"/>
                <w:lang w:eastAsia="bg-BG"/>
              </w:rPr>
              <w:t>б(3) от КТ</w:t>
            </w:r>
            <w:r w:rsidR="00F13003">
              <w:rPr>
                <w:rFonts w:ascii="Times New Roman" w:eastAsia="Times New Roman" w:hAnsi="Times New Roman" w:cs="Times New Roman"/>
                <w:sz w:val="24"/>
                <w:szCs w:val="24"/>
                <w:lang w:eastAsia="bg-BG"/>
              </w:rPr>
              <w:t>.</w:t>
            </w:r>
          </w:p>
          <w:p w14:paraId="0FA2CDCC"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Разходи за възнаграждения в размер на 90 % от сумата на минималната работна заплата за страната за съответната година, както и дължимите вноски за сметка на работодателя, съгласно ЗБДОО и ЗБ на НЗОК, за съответната година и ТЗПБ в размер на 0,4 % за лицата, включени в обучение по време на работа/чиракуване. Разходите са допустими за период до 6 </w:t>
            </w:r>
            <w:proofErr w:type="spellStart"/>
            <w:r>
              <w:rPr>
                <w:rFonts w:ascii="Times New Roman" w:eastAsia="Times New Roman" w:hAnsi="Times New Roman" w:cs="Times New Roman"/>
                <w:sz w:val="24"/>
                <w:szCs w:val="24"/>
                <w:lang w:eastAsia="bg-BG"/>
              </w:rPr>
              <w:t>месеца</w:t>
            </w:r>
            <w:r w:rsidR="00F13003">
              <w:rPr>
                <w:rFonts w:ascii="Times New Roman" w:eastAsia="Times New Roman" w:hAnsi="Times New Roman" w:cs="Times New Roman"/>
                <w:sz w:val="24"/>
                <w:szCs w:val="24"/>
                <w:lang w:eastAsia="bg-BG"/>
              </w:rPr>
              <w:t>,</w:t>
            </w:r>
            <w:r w:rsidR="00F13003" w:rsidRPr="00F13003">
              <w:rPr>
                <w:rFonts w:ascii="Times New Roman" w:eastAsia="Times New Roman" w:hAnsi="Times New Roman" w:cs="Times New Roman"/>
                <w:sz w:val="24"/>
                <w:szCs w:val="24"/>
                <w:lang w:eastAsia="bg-BG"/>
              </w:rPr>
              <w:t>съгласно</w:t>
            </w:r>
            <w:proofErr w:type="spellEnd"/>
            <w:r w:rsidR="00F13003" w:rsidRPr="00F13003">
              <w:rPr>
                <w:rFonts w:ascii="Times New Roman" w:eastAsia="Times New Roman" w:hAnsi="Times New Roman" w:cs="Times New Roman"/>
                <w:sz w:val="24"/>
                <w:szCs w:val="24"/>
                <w:lang w:eastAsia="bg-BG"/>
              </w:rPr>
              <w:t xml:space="preserve"> чл.230 (2) от КТ</w:t>
            </w:r>
            <w:r>
              <w:rPr>
                <w:rFonts w:ascii="Times New Roman" w:eastAsia="Times New Roman" w:hAnsi="Times New Roman" w:cs="Times New Roman"/>
                <w:sz w:val="24"/>
                <w:szCs w:val="24"/>
                <w:lang w:eastAsia="bg-BG"/>
              </w:rPr>
              <w:t>.</w:t>
            </w:r>
          </w:p>
          <w:p w14:paraId="73BDD07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 Възнаграждения по реда на чл. 40, ал. 5 от КСО за първите 3 работни дни от временната неработоспособност на лицето в размер на 70 % от дневното му възнаграждение (осигурителните вноски, начислени за сметка на работодателя не са допустими по процедурата),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14:paraId="53F45341"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Допустимо е кандидатите да планират резерв до 3 месечни възнаграждения на лице на база МОД за съответната длъжност/ 90 % МРЗ, който да бъде използван за покриване на:</w:t>
            </w:r>
          </w:p>
          <w:p w14:paraId="5F2ACA9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Обезщетение за неползван платен годишен отпуск, съгласно чл. 224 от КТ;</w:t>
            </w:r>
          </w:p>
          <w:p w14:paraId="07AAE4D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Разлика във връзка с увеличаване на размера на МОД/МРЗ, съгласно националното законодателство;</w:t>
            </w:r>
          </w:p>
          <w:p w14:paraId="421ABC3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Разходи за обезщетения, съгласно чл. 222, ал. 3 от КТ при прекратяване на трудовото правоотношение, след като работникът или служителят е придобил право на пенсия за осигурителен стаж и възраст (ако е приложимо). Обезщетението е допустимо в размер на брутното трудово възнаграждение на работника, определено по проекта, за срок от 2 месеца.</w:t>
            </w:r>
          </w:p>
          <w:p w14:paraId="16B454B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описанието на дейностите по проекта планираният резерв следва да бъде подробно описан и разграничен от разходите за възнаграждения, определени на база стандартна таблица на разходите за единица продукт.</w:t>
            </w:r>
          </w:p>
          <w:p w14:paraId="1F22C12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2.4. Разходи за възнаграждения на наставниците на лицата от целевата група.</w:t>
            </w:r>
          </w:p>
          <w:p w14:paraId="1359CD3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Стандартният размер на единичния разход на лице за месец се формира от: </w:t>
            </w:r>
          </w:p>
          <w:p w14:paraId="77237A9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Разходите за възнаграждения в размер на ½ от минималната работна заплата, установена за страната. Разходите са допустими за период до 3 месеца. По процедурата не са допустими осигурителните вноски, начислени за сметка на работодателя.</w:t>
            </w:r>
          </w:p>
          <w:p w14:paraId="2723067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за възнаграждения, определени на база стандартна таблица за единица продукт (</w:t>
            </w:r>
            <w:proofErr w:type="spellStart"/>
            <w:r>
              <w:rPr>
                <w:rFonts w:ascii="Times New Roman" w:eastAsia="Times New Roman" w:hAnsi="Times New Roman" w:cs="Times New Roman"/>
                <w:sz w:val="24"/>
                <w:szCs w:val="24"/>
                <w:lang w:eastAsia="bg-BG"/>
              </w:rPr>
              <w:t>б.р</w:t>
            </w:r>
            <w:proofErr w:type="spellEnd"/>
            <w:r>
              <w:rPr>
                <w:rFonts w:ascii="Times New Roman" w:eastAsia="Times New Roman" w:hAnsi="Times New Roman" w:cs="Times New Roman"/>
                <w:sz w:val="24"/>
                <w:szCs w:val="24"/>
                <w:lang w:eastAsia="bg-BG"/>
              </w:rPr>
              <w:t xml:space="preserve">. 2.2. – 2.4.), се възстановяват само за реално отработените дни, вкл. и дните, в които лицето е ползвало платен годишен отпуск и отпуск поради временна нетрудоспособност. </w:t>
            </w:r>
          </w:p>
          <w:p w14:paraId="05BBD6C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2.5. Разходи за стипендии на обучаващите се лица от целевата група в размер на 10,00 лв. за всеки присъствен учебен ден в населеното място и по 15,00 лв. за всеки присъствен учебен ден извън населеното място (минимум 6 учебни часа дневно). Допустими са при обучение на неактивни или безработни лица. Не са допустими за обучение по време на работа/чиракуване.</w:t>
            </w:r>
          </w:p>
          <w:p w14:paraId="122B5814"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Разходите по б. р. 2.2. - 2.5. се определят на база стандартна таблица на разходите за единица продукт, съгласно чл. 67, (1), т. б от Регламент 1303/2013 г.</w:t>
            </w:r>
          </w:p>
          <w:p w14:paraId="23DEAB31"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Стандартният размер на единичния разход за лице се определя съгласно заложените работни дни за съответната година, КИД на предприятието, в който ще бъде назначено лицето, кода на длъжността, съгласно НКПД 2011, минималния осигурителен доход, минималната работна заплата, осигурителните вноски за сметка на работодателя за съответната година. </w:t>
            </w:r>
          </w:p>
          <w:p w14:paraId="305A4BEC"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за възнаграждения, определени на база стандартна таблица за единица продукт се възстановяват само за реално отработени дни (за 8 часов работен ден), вкл. и дните, в които лицето е ползвало платен годишен отпуск. В случай че лицата се назначат на непълен работен ден, размерът на възнаграждението се изчислява пропорционално.</w:t>
            </w:r>
          </w:p>
          <w:p w14:paraId="131F5D67"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4. Разходи за обучения</w:t>
            </w:r>
          </w:p>
          <w:p w14:paraId="354EE287"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4.1. Разходи за мотивационни обучения.</w:t>
            </w:r>
          </w:p>
          <w:p w14:paraId="2E55320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се определят на база стандартна таблица на разходите за единица продукт, съгласно чл. 67, (1), т. б от Регламент 1303/2013 г.</w:t>
            </w:r>
          </w:p>
          <w:p w14:paraId="156D205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Стандартната таблица на разхода за единица продукт е в размер на 80 лв. за 30 учебни часа на лице, включено в мотивационно обучение. </w:t>
            </w:r>
          </w:p>
          <w:p w14:paraId="167E95BB"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стойността на обучението се включват всички присъщи разходи във връзка с обучението – разходи за учебни материали, консумативи, издаване на документи за завършено обучение, възнаграждение на преподаватели, осигуровки, наеми, режийни и други разходи, свързани с предоставянето на обучението.</w:t>
            </w:r>
          </w:p>
          <w:p w14:paraId="1142DE8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4.2. Разходи за обучения по професионална квалификация - включват се разходите за обучения по професионална квалификация при спазване на заложените в т. 13.2 от </w:t>
            </w:r>
            <w:r>
              <w:rPr>
                <w:rFonts w:ascii="Times New Roman" w:eastAsia="Times New Roman" w:hAnsi="Times New Roman" w:cs="Times New Roman"/>
                <w:sz w:val="24"/>
                <w:szCs w:val="24"/>
                <w:lang w:eastAsia="bg-BG"/>
              </w:rPr>
              <w:lastRenderedPageBreak/>
              <w:t xml:space="preserve">Условията за кандидатстване допустими размери на безвъзмездната финансова помощ за всеки вид обучение. </w:t>
            </w:r>
          </w:p>
          <w:p w14:paraId="4D5FD8B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4.3. Разходи за обучения по ключови компетентности - включват се разходите за обучения по ключови компетентности при спазване на заложените в т. 13.2 от Условията за кандидатстване допустими размери на безвъзмездната финансова помощ за всеки вид обучение. </w:t>
            </w:r>
          </w:p>
          <w:p w14:paraId="71094E4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по бюджетни редове 4.2. и 4.3. са определени на база стандартна таблица на разходите за единица продукт, съгласно чл. 67, (1), т. б от Регламент 1303/2013 г.</w:t>
            </w:r>
          </w:p>
          <w:p w14:paraId="0D0DC2C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Разходите за повишаване на професионална квалификация и/или придобиване на нова и за придобиване на ключови компетентности са, както следва:</w:t>
            </w:r>
          </w:p>
          <w:p w14:paraId="63F722CA"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за обучения за придобиване на професионална квалификация:</w:t>
            </w:r>
          </w:p>
          <w:p w14:paraId="1AFE83F0"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 за първа степен, с продължителност не по-малка от 300 учебни часа – 600,00 лв.;</w:t>
            </w:r>
          </w:p>
          <w:p w14:paraId="31185EE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 за втора степен, с продължителност не по-малка от 660 учебни часа – 1 200,00 лв.;</w:t>
            </w:r>
          </w:p>
          <w:p w14:paraId="0EFCF5FF"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за трета степен, с продължителност не по-малка от 960 учебни часа – 1 800,00 лв.;</w:t>
            </w:r>
          </w:p>
          <w:p w14:paraId="1975EEB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 за част от професия по първа квалификационна степен, с продължителност не по-малка от 200 учебни часа – 400,00 лв.;</w:t>
            </w:r>
          </w:p>
          <w:p w14:paraId="5C5382FF"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 за част от професия по втора квалификационна степен, с продължителност не по-малка от 300 учебни часа – 600,00 лв.;</w:t>
            </w:r>
          </w:p>
          <w:p w14:paraId="0AD56A6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е) за част от професия по трета квалификационна степен, с продължителност не по-малка от 600 учебни часа – 1 125,00 лв.</w:t>
            </w:r>
          </w:p>
          <w:p w14:paraId="385F84E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за обучения за придобиване на ключови компетентности:</w:t>
            </w:r>
          </w:p>
          <w:p w14:paraId="437A4E1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 за обучения по ключова компетентност 1 - общуване на роден език  с продължителност не по-малка от 16 учебни часа – 70,00 лв.;</w:t>
            </w:r>
          </w:p>
          <w:p w14:paraId="4612765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 за обучения по ключова компетентност 2 – общуване на чужд език с продължителност не по-малка от 300 учебни часа за три нива на обучение – 700,00 лв.;</w:t>
            </w:r>
          </w:p>
          <w:p w14:paraId="4D53957E"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за обучения по ключова компетентност 3 - математическа компетентност и основни знания в областта на природните науки и технологиите с продължителност не по-малка от 30 учебни часа – 140,00 лв.;</w:t>
            </w:r>
          </w:p>
          <w:p w14:paraId="1A9AD61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 за обучения по ключова компетентност 4 - дигитална компетентност с продължителност не по-малка от 45 учебни часа – 250,00 лв.;</w:t>
            </w:r>
          </w:p>
          <w:p w14:paraId="41142FF5"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 за обучения по ключови компетентност 5 - умение за учене с продължителност не по-малка от 30 учебни часа – 140,00 лв.;</w:t>
            </w:r>
          </w:p>
          <w:p w14:paraId="3E80B0A8"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е) за обучения по ключови компетентност 6 обществени и граждански компетентности с </w:t>
            </w:r>
            <w:r>
              <w:rPr>
                <w:rFonts w:ascii="Times New Roman" w:eastAsia="Times New Roman" w:hAnsi="Times New Roman" w:cs="Times New Roman"/>
                <w:sz w:val="24"/>
                <w:szCs w:val="24"/>
                <w:lang w:eastAsia="bg-BG"/>
              </w:rPr>
              <w:lastRenderedPageBreak/>
              <w:t>продължителност не по-малка от 30 учебни часа – 140,00 лв.;</w:t>
            </w:r>
          </w:p>
          <w:p w14:paraId="6A05F10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ж) за обучения по ключови компетентност 7 инициативност и предприемачество с продължителност не по-малка от 30 учебни часа – 140,00 лв.</w:t>
            </w:r>
          </w:p>
          <w:p w14:paraId="00FC64C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стойността на единица продукт – обучение са включени всички присъщи разходи за него, както следва: разходи за оригинални учебни материали, консумативи, застраховки при обучение за професионална квалификация, издаване на документ за завършено обучение, възнаграждение на преподаватели, осигуровки, наем на материално техническа база, както и всички административни, режийни и други разходи, включително разходи за осъществяване на дейността, свързана с предоставянето на обучението/ята.</w:t>
            </w:r>
          </w:p>
          <w:p w14:paraId="6DB2C17D"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случай че кандидатът заложи стойности, различни от посочените (цена и продължителност), оценителната комисия служебно ще извърши съответната корекция – приложимо за всички обучения, посочени в </w:t>
            </w:r>
            <w:proofErr w:type="spellStart"/>
            <w:r>
              <w:rPr>
                <w:rFonts w:ascii="Times New Roman" w:eastAsia="Times New Roman" w:hAnsi="Times New Roman" w:cs="Times New Roman"/>
                <w:sz w:val="24"/>
                <w:szCs w:val="24"/>
                <w:lang w:eastAsia="bg-BG"/>
              </w:rPr>
              <w:t>б.р</w:t>
            </w:r>
            <w:proofErr w:type="spellEnd"/>
            <w:r>
              <w:rPr>
                <w:rFonts w:ascii="Times New Roman" w:eastAsia="Times New Roman" w:hAnsi="Times New Roman" w:cs="Times New Roman"/>
                <w:sz w:val="24"/>
                <w:szCs w:val="24"/>
                <w:lang w:eastAsia="bg-BG"/>
              </w:rPr>
              <w:t>. 4.1-4.3.</w:t>
            </w:r>
          </w:p>
          <w:p w14:paraId="7DB5D623"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V. ЕДИННА СТАВКА</w:t>
            </w:r>
          </w:p>
          <w:p w14:paraId="43E50084"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9/9.1 Непреки разходи</w:t>
            </w:r>
            <w:r>
              <w:rPr>
                <w:rFonts w:ascii="Times New Roman" w:eastAsia="Times New Roman" w:hAnsi="Times New Roman" w:cs="Times New Roman"/>
                <w:sz w:val="24"/>
                <w:szCs w:val="24"/>
                <w:lang w:eastAsia="bg-BG"/>
              </w:rPr>
              <w:t xml:space="preserve"> - тези разходи са в размер точно на 10 % от преките допустими разходи по проекта, определени на база стандартна таблица на разходите за единица продукт.</w:t>
            </w:r>
          </w:p>
          <w:p w14:paraId="43518EE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Непреките разходи са в размер на точно 10 % от допустимите преки разходи по проекта (без разходите, заложени в б.р.10).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w:t>
            </w:r>
          </w:p>
          <w:p w14:paraId="2AE45B0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„Непреки разходи” са разходите, които са свързани с изпълнението на дейности, предвидени в проекта, които не допринасят пряко за постигането на неговите цели и резултати, но са необходими за неговото цялостно администриране, управление, оценка и добро финансово изпълнение. Непреки разходи са разходите, свързани с възнагражденията на персонала по администриране на проекта - ръководител на проект, технически сътрудник, счетоводител и друг експертен или технически персонал, административните разходи, свързани с управлението на проекта (режийни разходи, консумативи и материали, наем, разходи за командировки) и разходи за информация и комуникация, посочени за допустими в документите по чл. 26, ал. 1 от ЗУСЕСИФ.</w:t>
            </w:r>
          </w:p>
          <w:p w14:paraId="158437D1"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V</w:t>
            </w:r>
            <w:r>
              <w:rPr>
                <w:rFonts w:ascii="Times New Roman" w:eastAsia="Times New Roman" w:hAnsi="Times New Roman" w:cs="Times New Roman"/>
                <w:b/>
                <w:sz w:val="24"/>
                <w:szCs w:val="24"/>
                <w:lang w:val="en-US" w:eastAsia="bg-BG"/>
              </w:rPr>
              <w:t>I</w:t>
            </w:r>
            <w:r>
              <w:rPr>
                <w:rFonts w:ascii="Times New Roman" w:eastAsia="Times New Roman" w:hAnsi="Times New Roman" w:cs="Times New Roman"/>
                <w:b/>
                <w:sz w:val="24"/>
                <w:szCs w:val="24"/>
                <w:lang w:eastAsia="bg-BG"/>
              </w:rPr>
              <w:t>. ЕДНОКРАТНИ СУМИ</w:t>
            </w:r>
          </w:p>
          <w:p w14:paraId="0C5E097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10./10.1. ПРОЕКТОБЮДЖЕТ</w:t>
            </w:r>
            <w:r>
              <w:rPr>
                <w:rFonts w:ascii="Times New Roman" w:eastAsia="Times New Roman" w:hAnsi="Times New Roman" w:cs="Times New Roman"/>
                <w:sz w:val="24"/>
                <w:szCs w:val="24"/>
                <w:lang w:eastAsia="bg-BG"/>
              </w:rPr>
              <w:t xml:space="preserve">  - за тези разходи се прилага опростено отчитане на разходите чрез определяне на еднократни суми за отделните разходи, съгласно чл. 67, (1), т. в  от Регламент 1303/2013, изчислен на база проектобюджет.  </w:t>
            </w:r>
          </w:p>
          <w:p w14:paraId="0E9E1172"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проектобюджета се включват всички необходимите разходи за изпълнение на дейностите (с изключение на разходите в </w:t>
            </w:r>
            <w:proofErr w:type="spellStart"/>
            <w:r>
              <w:rPr>
                <w:rFonts w:ascii="Times New Roman" w:eastAsia="Times New Roman" w:hAnsi="Times New Roman" w:cs="Times New Roman"/>
                <w:sz w:val="24"/>
                <w:szCs w:val="24"/>
                <w:lang w:eastAsia="bg-BG"/>
              </w:rPr>
              <w:t>б.р</w:t>
            </w:r>
            <w:proofErr w:type="spellEnd"/>
            <w:r>
              <w:rPr>
                <w:rFonts w:ascii="Times New Roman" w:eastAsia="Times New Roman" w:hAnsi="Times New Roman" w:cs="Times New Roman"/>
                <w:sz w:val="24"/>
                <w:szCs w:val="24"/>
                <w:lang w:eastAsia="bg-BG"/>
              </w:rPr>
              <w:t>. 2.2.-2.5. и 4.1.-4.3.).</w:t>
            </w:r>
          </w:p>
          <w:p w14:paraId="610FF583"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Разходите по отделните бюджетни редове ще бъдат служебно отразени след одобряване </w:t>
            </w:r>
            <w:r>
              <w:rPr>
                <w:rFonts w:ascii="Times New Roman" w:eastAsia="Times New Roman" w:hAnsi="Times New Roman" w:cs="Times New Roman"/>
                <w:sz w:val="24"/>
                <w:szCs w:val="24"/>
                <w:lang w:eastAsia="bg-BG"/>
              </w:rPr>
              <w:lastRenderedPageBreak/>
              <w:t>на проектобюджета от оценителната комисия.</w:t>
            </w:r>
          </w:p>
          <w:p w14:paraId="3C4A9E26"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Приложеният образец на проектобюджет (Приложение V) с отделни план-сметки може да се коригира и допълва в зависимост от предвидените дейности и видовете разходи, необходими за изпълнението им. Залагат се само допустимите разходи по схемата, като се обединяват /ако е приложимо/ спрямо типа разход и/или услуга, заложени в описанието на дейностите. Допустими разходи по схемата са разходи за възнаграждения на експерти, съгласно Методологията за регламентиране на възнагражденията, като размерът на почасовото заплащане на наетите по проекта лица не може да бъде по-висок от размера на почасовото им заплащане, определен с акта за назначаването им или с основния им трудов договор и да бъде по-висок от стойностите,  заложени в Таблицата за определяне на допустимите почасови ставки – Приложение за информация към Условията за кандидатстване, разходи за командировки, съгласно Наредбата за командировките в страната, материали и консумативи, оборудване и обзавеждане, наем на зали и техника, дейности по Направление </w:t>
            </w:r>
            <w:r>
              <w:rPr>
                <w:rFonts w:ascii="Times New Roman" w:eastAsia="Times New Roman" w:hAnsi="Times New Roman" w:cs="Times New Roman"/>
                <w:sz w:val="24"/>
                <w:szCs w:val="24"/>
                <w:lang w:val="en-US" w:eastAsia="bg-BG"/>
              </w:rPr>
              <w:t>IV</w:t>
            </w:r>
            <w:r>
              <w:rPr>
                <w:rFonts w:ascii="Times New Roman" w:eastAsia="Times New Roman" w:hAnsi="Times New Roman" w:cs="Times New Roman"/>
                <w:sz w:val="24"/>
                <w:szCs w:val="24"/>
                <w:lang w:eastAsia="bg-BG"/>
              </w:rPr>
              <w:t xml:space="preserve"> и др. разходи, произтичащи от договори за изработка/услуга по ЗЗД. Всеки един разход следва да се аргументира в описанието на дейностите по проекта и да се докаже със съответните насрещни документи.</w:t>
            </w:r>
          </w:p>
          <w:p w14:paraId="15A1DF70" w14:textId="77777777" w:rsidR="009C0430" w:rsidRDefault="00B27CD4">
            <w:pPr>
              <w:spacing w:before="12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Всеки ред в проектобюджета трябва да е обвързан с конкретни резултати/краен продукт, които да са измерими, доказуеми и съответстващи на заложените дейности.</w:t>
            </w:r>
          </w:p>
          <w:p w14:paraId="7E059809" w14:textId="77777777" w:rsidR="009C0430" w:rsidRDefault="00B27CD4">
            <w:pPr>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37A694FF" w14:textId="77777777" w:rsidR="009C0430" w:rsidRDefault="009C0430">
            <w:pPr>
              <w:pStyle w:val="a0"/>
              <w:shd w:val="clear" w:color="auto" w:fill="E1ECF7"/>
              <w:spacing w:before="120" w:after="120"/>
              <w:ind w:left="0"/>
              <w:contextualSpacing w:val="0"/>
              <w:jc w:val="both"/>
              <w:rPr>
                <w:rFonts w:ascii="Times New Roman" w:eastAsia="Times New Roman" w:hAnsi="Times New Roman" w:cs="Times New Roman"/>
                <w:sz w:val="20"/>
                <w:szCs w:val="20"/>
                <w:lang w:eastAsia="bg-BG"/>
              </w:rPr>
            </w:pPr>
          </w:p>
        </w:tc>
      </w:tr>
    </w:tbl>
    <w:p w14:paraId="263D4A7B" w14:textId="77777777" w:rsidR="009C0430" w:rsidRDefault="00B27CD4">
      <w:pPr>
        <w:pStyle w:val="2"/>
      </w:pPr>
      <w:bookmarkStart w:id="60" w:name="_Toc488319658"/>
      <w:bookmarkStart w:id="61" w:name="_Toc445385595"/>
      <w:r>
        <w:lastRenderedPageBreak/>
        <w:t>14.4. Недопустими разходи</w:t>
      </w:r>
      <w:bookmarkEnd w:id="60"/>
      <w:bookmarkEnd w:id="61"/>
    </w:p>
    <w:tbl>
      <w:tblPr>
        <w:tblStyle w:val="afe"/>
        <w:tblW w:w="0" w:type="auto"/>
        <w:tblLook w:val="04A0" w:firstRow="1" w:lastRow="0" w:firstColumn="1" w:lastColumn="0" w:noHBand="0" w:noVBand="1"/>
      </w:tblPr>
      <w:tblGrid>
        <w:gridCol w:w="9496"/>
      </w:tblGrid>
      <w:tr w:rsidR="009C0430" w14:paraId="25B85D9F" w14:textId="77777777">
        <w:tc>
          <w:tcPr>
            <w:tcW w:w="9496" w:type="dxa"/>
          </w:tcPr>
          <w:p w14:paraId="185F2847" w14:textId="77777777" w:rsidR="009C0430" w:rsidRDefault="00B27CD4">
            <w:pPr>
              <w:numPr>
                <w:ilvl w:val="0"/>
                <w:numId w:val="16"/>
              </w:numPr>
              <w:tabs>
                <w:tab w:val="left" w:pos="180"/>
              </w:tabs>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1598EC3C" w14:textId="77777777" w:rsidR="009C0430" w:rsidRDefault="00B27CD4">
            <w:pPr>
              <w:numPr>
                <w:ilvl w:val="0"/>
                <w:numId w:val="16"/>
              </w:numPr>
              <w:tabs>
                <w:tab w:val="left" w:pos="180"/>
              </w:tabs>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глоби, финансови санкции и разходи за разрешаване на спорове; </w:t>
            </w:r>
          </w:p>
          <w:p w14:paraId="26AB755E" w14:textId="77777777" w:rsidR="009C0430" w:rsidRDefault="00B27CD4">
            <w:pPr>
              <w:pStyle w:val="a0"/>
              <w:numPr>
                <w:ilvl w:val="0"/>
                <w:numId w:val="16"/>
              </w:numPr>
              <w:tabs>
                <w:tab w:val="left" w:pos="426"/>
              </w:tabs>
              <w:contextualSpacing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комисионите и загубите от курсови разлики при обмяна на чужда валута, с изключение на случаите на предоставянето на финансова подкрепа чрез финансови инструменти;</w:t>
            </w:r>
          </w:p>
          <w:p w14:paraId="1AC25A23" w14:textId="77777777" w:rsidR="009C0430" w:rsidRDefault="00B27CD4">
            <w:pPr>
              <w:pStyle w:val="a0"/>
              <w:numPr>
                <w:ilvl w:val="0"/>
                <w:numId w:val="16"/>
              </w:numP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възстановим данък върху добавената стойност;</w:t>
            </w:r>
          </w:p>
          <w:p w14:paraId="2D08B307" w14:textId="77777777" w:rsidR="009C0430" w:rsidRDefault="00B27CD4">
            <w:pPr>
              <w:numPr>
                <w:ilvl w:val="0"/>
                <w:numId w:val="16"/>
              </w:numPr>
              <w:tabs>
                <w:tab w:val="left" w:pos="180"/>
              </w:tabs>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закупуване на дълготрайни материални активи - втора употреба;</w:t>
            </w:r>
          </w:p>
          <w:p w14:paraId="41C8E3DE" w14:textId="77777777" w:rsidR="009C0430" w:rsidRDefault="00B27CD4">
            <w:pPr>
              <w:numPr>
                <w:ilvl w:val="0"/>
                <w:numId w:val="16"/>
              </w:numPr>
              <w:tabs>
                <w:tab w:val="left" w:pos="180"/>
              </w:tabs>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разходите за гаранции, осигурени от банка или от друга финансова институция, с изключение на разходите по финансови инструменти. </w:t>
            </w:r>
          </w:p>
          <w:p w14:paraId="52DA8AB2" w14:textId="77777777" w:rsidR="009C0430" w:rsidRDefault="00B27CD4">
            <w:pPr>
              <w:numPr>
                <w:ilvl w:val="0"/>
                <w:numId w:val="16"/>
              </w:numPr>
              <w:tabs>
                <w:tab w:val="left" w:pos="180"/>
              </w:tabs>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14:paraId="2507C0B5" w14:textId="77777777" w:rsidR="009C0430" w:rsidRDefault="00B27CD4">
            <w:pPr>
              <w:numPr>
                <w:ilvl w:val="0"/>
                <w:numId w:val="16"/>
              </w:numPr>
              <w:tabs>
                <w:tab w:val="left" w:pos="0"/>
              </w:tabs>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субсидиране на лихва по одобрени схеми за държавни помощи и разноските за финансови транзакции;</w:t>
            </w:r>
          </w:p>
          <w:p w14:paraId="3578A4C4" w14:textId="77777777" w:rsidR="009C0430" w:rsidRDefault="00B27CD4">
            <w:pPr>
              <w:numPr>
                <w:ilvl w:val="0"/>
                <w:numId w:val="16"/>
              </w:numPr>
              <w:tabs>
                <w:tab w:val="left" w:pos="0"/>
              </w:tabs>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разходи за закупуване на инфраструктура, земя и недвижимо имущество;</w:t>
            </w:r>
          </w:p>
          <w:p w14:paraId="7055B1D7" w14:textId="77777777" w:rsidR="009C0430" w:rsidRDefault="00B27CD4">
            <w:pPr>
              <w:numPr>
                <w:ilvl w:val="0"/>
                <w:numId w:val="16"/>
              </w:numPr>
              <w:tabs>
                <w:tab w:val="left" w:pos="0"/>
              </w:tabs>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4"/>
                <w:szCs w:val="24"/>
                <w:lang w:eastAsia="bg-BG"/>
              </w:rPr>
              <w:t>разходи за консултантски услуги, свързани с подготовката и/или попълването на документите за кандидатстване за финансова подкрепа;</w:t>
            </w:r>
          </w:p>
          <w:p w14:paraId="22947F9E" w14:textId="77777777" w:rsidR="009C0430" w:rsidRDefault="00B27CD4">
            <w:pPr>
              <w:pStyle w:val="Default"/>
              <w:numPr>
                <w:ilvl w:val="0"/>
                <w:numId w:val="16"/>
              </w:numPr>
            </w:pPr>
            <w:r>
              <w:t xml:space="preserve">разходи за </w:t>
            </w:r>
            <w:r w:rsidR="00920DBA" w:rsidRPr="00920DBA">
              <w:rPr>
                <w:rFonts w:hint="eastAsia"/>
              </w:rPr>
              <w:t>строително</w:t>
            </w:r>
            <w:r w:rsidR="00920DBA" w:rsidRPr="00920DBA">
              <w:t>-</w:t>
            </w:r>
            <w:r w:rsidR="00920DBA" w:rsidRPr="00920DBA">
              <w:rPr>
                <w:rFonts w:hint="eastAsia"/>
              </w:rPr>
              <w:t>монтажни</w:t>
            </w:r>
            <w:r w:rsidR="00C066B1">
              <w:rPr>
                <w:lang w:val="en-US"/>
              </w:rPr>
              <w:t xml:space="preserve"> </w:t>
            </w:r>
            <w:r w:rsidR="00920DBA" w:rsidRPr="00920DBA">
              <w:rPr>
                <w:rFonts w:hint="eastAsia"/>
              </w:rPr>
              <w:t>работи</w:t>
            </w:r>
            <w:r>
              <w:t>;</w:t>
            </w:r>
          </w:p>
          <w:p w14:paraId="35F08347" w14:textId="77777777" w:rsidR="009C0430" w:rsidRDefault="00B27CD4">
            <w:pPr>
              <w:pStyle w:val="Default"/>
              <w:numPr>
                <w:ilvl w:val="0"/>
                <w:numId w:val="16"/>
              </w:numPr>
              <w:jc w:val="both"/>
            </w:pPr>
            <w:r>
              <w:lastRenderedPageBreak/>
              <w:t xml:space="preserve">осигурителни вноски, начислени за сметка на работодателя върху възнагражденията по реда на чл. 40, ал. 5 от КСО за първите 3 работни дни от временната неработоспособност на лицето в размер на 70 % от дневното му възнаграждение; </w:t>
            </w:r>
          </w:p>
          <w:p w14:paraId="66E8FB14" w14:textId="77777777" w:rsidR="009C0430" w:rsidRDefault="00B27CD4">
            <w:pPr>
              <w:pStyle w:val="Default"/>
              <w:numPr>
                <w:ilvl w:val="0"/>
                <w:numId w:val="16"/>
              </w:numPr>
              <w:jc w:val="both"/>
            </w:pPr>
            <w:r>
              <w:t>осигурителни вноски, начислени за сметка на работодателя върху възнагражденията на назначените наставници;</w:t>
            </w:r>
          </w:p>
          <w:p w14:paraId="12F528A0" w14:textId="77777777" w:rsidR="009C0430" w:rsidRDefault="00B27CD4">
            <w:pPr>
              <w:numPr>
                <w:ilvl w:val="0"/>
                <w:numId w:val="16"/>
              </w:numPr>
              <w:tabs>
                <w:tab w:val="left" w:pos="0"/>
              </w:tabs>
              <w:jc w:val="both"/>
              <w:rPr>
                <w:rFonts w:ascii="Times New Roman" w:eastAsia="Times New Roman" w:hAnsi="Times New Roman" w:cs="Times New Roman"/>
                <w:color w:val="000000"/>
                <w:sz w:val="20"/>
                <w:szCs w:val="20"/>
                <w:lang w:eastAsia="bg-BG"/>
              </w:rPr>
            </w:pPr>
            <w:r>
              <w:rPr>
                <w:rFonts w:ascii="Times New Roman" w:eastAsia="Times New Roman" w:hAnsi="Times New Roman" w:cs="Times New Roman"/>
                <w:color w:val="000000"/>
                <w:sz w:val="24"/>
                <w:szCs w:val="24"/>
                <w:lang w:eastAsia="bg-BG"/>
              </w:rPr>
              <w:t>разходи за закупуване на транспортни средства.</w:t>
            </w:r>
          </w:p>
          <w:p w14:paraId="62244D5A" w14:textId="77777777" w:rsidR="009C0430" w:rsidRDefault="00B27CD4">
            <w:pPr>
              <w:tabs>
                <w:tab w:val="left" w:pos="180"/>
              </w:tabs>
              <w:jc w:val="both"/>
              <w:rPr>
                <w:rFonts w:ascii="Times New Roman" w:hAnsi="Times New Roman" w:cs="Times New Roman"/>
                <w:b/>
                <w:color w:val="000000"/>
                <w:sz w:val="24"/>
                <w:szCs w:val="24"/>
              </w:rPr>
            </w:pPr>
            <w:r>
              <w:rPr>
                <w:rFonts w:ascii="Times New Roman" w:eastAsia="Times New Roman" w:hAnsi="Times New Roman" w:cs="Times New Roman"/>
                <w:b/>
                <w:color w:val="000000"/>
                <w:sz w:val="24"/>
                <w:szCs w:val="24"/>
                <w:lang w:eastAsia="bg-BG"/>
              </w:rPr>
              <w:t>На основание чл. 57, ал. 2 от ЗУСЕСИФ 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tc>
      </w:tr>
    </w:tbl>
    <w:p w14:paraId="2CEC7421" w14:textId="77777777" w:rsidR="009C0430" w:rsidRDefault="00B27CD4">
      <w:pPr>
        <w:pStyle w:val="1"/>
      </w:pPr>
      <w:bookmarkStart w:id="62" w:name="_Toc488319659"/>
      <w:bookmarkStart w:id="63" w:name="_Toc445385596"/>
      <w:r>
        <w:lastRenderedPageBreak/>
        <w:t>15. Допустими целеви групи :</w:t>
      </w:r>
      <w:bookmarkEnd w:id="62"/>
      <w:bookmarkEnd w:id="63"/>
    </w:p>
    <w:tbl>
      <w:tblPr>
        <w:tblStyle w:val="afe"/>
        <w:tblW w:w="0" w:type="auto"/>
        <w:tblLook w:val="04A0" w:firstRow="1" w:lastRow="0" w:firstColumn="1" w:lastColumn="0" w:noHBand="0" w:noVBand="1"/>
      </w:tblPr>
      <w:tblGrid>
        <w:gridCol w:w="9496"/>
      </w:tblGrid>
      <w:tr w:rsidR="009C0430" w14:paraId="7C194856" w14:textId="77777777">
        <w:tc>
          <w:tcPr>
            <w:tcW w:w="9496" w:type="dxa"/>
          </w:tcPr>
          <w:p w14:paraId="062FE7E4" w14:textId="77777777" w:rsidR="009C0430" w:rsidRDefault="00B27CD4">
            <w:pPr>
              <w:pStyle w:val="Text1"/>
              <w:spacing w:after="0"/>
              <w:ind w:left="0"/>
              <w:outlineLvl w:val="0"/>
              <w:rPr>
                <w:szCs w:val="24"/>
                <w:lang w:val="bg-BG" w:eastAsia="bg-BG"/>
              </w:rPr>
            </w:pPr>
            <w:bookmarkStart w:id="64" w:name="_Toc445385343"/>
            <w:bookmarkStart w:id="65" w:name="_Toc445385597"/>
            <w:r>
              <w:rPr>
                <w:szCs w:val="24"/>
                <w:lang w:val="bg-BG" w:eastAsia="bg-BG"/>
              </w:rPr>
              <w:t>Допустими целеви групи по настоящата процедура са лица от маргинализирани общности, както следва:</w:t>
            </w:r>
            <w:bookmarkEnd w:id="64"/>
            <w:bookmarkEnd w:id="65"/>
          </w:p>
          <w:p w14:paraId="76DFB765" w14:textId="77777777" w:rsidR="009C0430" w:rsidRDefault="00B27CD4">
            <w:pPr>
              <w:pStyle w:val="Text1"/>
              <w:spacing w:before="120" w:after="120"/>
              <w:ind w:left="0"/>
              <w:outlineLvl w:val="0"/>
              <w:rPr>
                <w:szCs w:val="24"/>
                <w:lang w:val="bg-BG" w:eastAsia="bg-BG"/>
              </w:rPr>
            </w:pPr>
            <w:r>
              <w:rPr>
                <w:szCs w:val="24"/>
                <w:lang w:val="bg-BG" w:eastAsia="bg-BG"/>
              </w:rPr>
              <w:t>- представители на ромската общност;</w:t>
            </w:r>
          </w:p>
          <w:p w14:paraId="7F8B85EA" w14:textId="77777777" w:rsidR="009C0430" w:rsidRDefault="00B27CD4">
            <w:pPr>
              <w:pStyle w:val="Text1"/>
              <w:spacing w:before="120" w:after="120"/>
              <w:ind w:left="0"/>
              <w:outlineLvl w:val="0"/>
              <w:rPr>
                <w:szCs w:val="24"/>
                <w:lang w:val="bg-BG" w:eastAsia="bg-BG"/>
              </w:rPr>
            </w:pPr>
            <w:r>
              <w:rPr>
                <w:szCs w:val="24"/>
                <w:lang w:val="bg-BG" w:eastAsia="bg-BG"/>
              </w:rPr>
              <w:t>- други хора в неравностойно положение.</w:t>
            </w:r>
          </w:p>
          <w:p w14:paraId="269D5553" w14:textId="77777777" w:rsidR="009C0430" w:rsidRDefault="00B27CD4">
            <w:pPr>
              <w:numPr>
                <w:ilvl w:val="0"/>
                <w:numId w:val="15"/>
              </w:numPr>
              <w:tabs>
                <w:tab w:val="left" w:pos="315"/>
              </w:tabs>
              <w:spacing w:line="276" w:lineRule="auto"/>
              <w:ind w:left="0" w:firstLine="0"/>
              <w:jc w:val="both"/>
              <w:outlineLvl w:val="0"/>
              <w:rPr>
                <w:rFonts w:ascii="Times New Roman" w:eastAsia="Times New Roman" w:hAnsi="Times New Roman" w:cs="Times New Roman"/>
                <w:snapToGrid w:val="0"/>
                <w:sz w:val="24"/>
                <w:szCs w:val="20"/>
                <w:lang w:eastAsia="bg-BG"/>
              </w:rPr>
            </w:pPr>
            <w:bookmarkStart w:id="66" w:name="_Toc513624777"/>
            <w:r>
              <w:rPr>
                <w:rFonts w:ascii="Times New Roman" w:eastAsia="Times New Roman" w:hAnsi="Times New Roman" w:cs="Times New Roman"/>
                <w:snapToGrid w:val="0"/>
                <w:sz w:val="24"/>
                <w:szCs w:val="20"/>
                <w:lang w:eastAsia="bg-BG"/>
              </w:rPr>
              <w:t>Хора, населяващи територията на МИГ, в т.ч. с ниска гъстота на населението, селски и изолирани райони</w:t>
            </w:r>
            <w:r>
              <w:rPr>
                <w:rFonts w:ascii="Times New Roman" w:eastAsia="Times New Roman" w:hAnsi="Times New Roman" w:cs="Times New Roman"/>
                <w:snapToGrid w:val="0"/>
                <w:sz w:val="24"/>
                <w:szCs w:val="20"/>
                <w:vertAlign w:val="superscript"/>
                <w:lang w:eastAsia="bg-BG"/>
              </w:rPr>
              <w:footnoteReference w:id="8"/>
            </w:r>
            <w:r>
              <w:rPr>
                <w:rFonts w:ascii="Times New Roman" w:eastAsia="Times New Roman" w:hAnsi="Times New Roman" w:cs="Times New Roman"/>
                <w:snapToGrid w:val="0"/>
                <w:sz w:val="24"/>
                <w:szCs w:val="20"/>
                <w:lang w:eastAsia="bg-BG"/>
              </w:rPr>
              <w:t>, части от населени места, в които е налице концентрация на проблеми, създаващи риск от бедност, социално изключване и маргинализация (висока безработица, ниски доходи, ограничен достъп до публични услуги, териториална сегрегация, пространствена изолация и др.).</w:t>
            </w:r>
            <w:bookmarkEnd w:id="66"/>
          </w:p>
          <w:p w14:paraId="7CDF199B" w14:textId="77777777" w:rsidR="009C0430" w:rsidRDefault="00B27CD4">
            <w:pPr>
              <w:numPr>
                <w:ilvl w:val="0"/>
                <w:numId w:val="15"/>
              </w:numPr>
              <w:tabs>
                <w:tab w:val="left" w:pos="315"/>
              </w:tabs>
              <w:spacing w:line="276" w:lineRule="auto"/>
              <w:ind w:left="0" w:firstLine="0"/>
              <w:jc w:val="both"/>
              <w:outlineLvl w:val="0"/>
              <w:rPr>
                <w:rFonts w:ascii="Times New Roman" w:eastAsia="Times New Roman" w:hAnsi="Times New Roman" w:cs="Times New Roman"/>
                <w:snapToGrid w:val="0"/>
                <w:sz w:val="24"/>
                <w:szCs w:val="20"/>
                <w:lang w:eastAsia="bg-BG"/>
              </w:rPr>
            </w:pPr>
            <w:r>
              <w:rPr>
                <w:rFonts w:ascii="Times New Roman" w:eastAsia="Times New Roman" w:hAnsi="Times New Roman" w:cs="Times New Roman"/>
                <w:snapToGrid w:val="0"/>
                <w:sz w:val="24"/>
                <w:szCs w:val="20"/>
                <w:lang w:eastAsia="bg-BG"/>
              </w:rPr>
              <w:t xml:space="preserve">Хора с произход от други държави </w:t>
            </w:r>
          </w:p>
          <w:p w14:paraId="15E641F4" w14:textId="77777777" w:rsidR="009C0430" w:rsidRDefault="009C0430">
            <w:pPr>
              <w:pStyle w:val="Text1"/>
              <w:spacing w:before="120" w:after="120"/>
              <w:ind w:left="0"/>
              <w:outlineLvl w:val="0"/>
              <w:rPr>
                <w:szCs w:val="24"/>
                <w:lang w:val="bg-BG" w:eastAsia="bg-BG"/>
              </w:rPr>
            </w:pPr>
          </w:p>
          <w:p w14:paraId="3D7CDDD2" w14:textId="77777777" w:rsidR="009C0430" w:rsidRDefault="00B27CD4">
            <w:pPr>
              <w:pStyle w:val="Text1"/>
              <w:spacing w:before="120" w:after="120"/>
              <w:ind w:left="0"/>
              <w:outlineLvl w:val="0"/>
              <w:rPr>
                <w:color w:val="000000" w:themeColor="text1"/>
                <w:lang w:val="bg-BG" w:eastAsia="bg-BG"/>
              </w:rPr>
            </w:pPr>
            <w:r>
              <w:rPr>
                <w:b/>
                <w:color w:val="000000" w:themeColor="text1"/>
                <w:lang w:val="bg-BG" w:eastAsia="bg-BG"/>
              </w:rPr>
              <w:t>ВАЖНО:</w:t>
            </w:r>
            <w:r>
              <w:rPr>
                <w:color w:val="000000" w:themeColor="text1"/>
                <w:lang w:val="bg-BG" w:eastAsia="bg-BG"/>
              </w:rPr>
              <w:t xml:space="preserve"> За да бъдат допустими целеви групи, участниците в проектите трябва освен да са част от горепосочените целеви групи, също и  да са от </w:t>
            </w:r>
            <w:r>
              <w:rPr>
                <w:b/>
                <w:color w:val="000000" w:themeColor="text1"/>
                <w:lang w:val="bg-BG" w:eastAsia="bg-BG"/>
              </w:rPr>
              <w:t>маргинализирани общности със социални проблеми</w:t>
            </w:r>
            <w:r>
              <w:rPr>
                <w:color w:val="000000" w:themeColor="text1"/>
                <w:lang w:val="bg-BG" w:eastAsia="bg-BG"/>
              </w:rPr>
              <w:t xml:space="preserve">, което се изразява в едно или няколко от </w:t>
            </w:r>
            <w:proofErr w:type="spellStart"/>
            <w:r>
              <w:rPr>
                <w:color w:val="000000" w:themeColor="text1"/>
                <w:lang w:val="bg-BG" w:eastAsia="bg-BG"/>
              </w:rPr>
              <w:t>следните:да</w:t>
            </w:r>
            <w:proofErr w:type="spellEnd"/>
            <w:r>
              <w:rPr>
                <w:color w:val="000000" w:themeColor="text1"/>
                <w:lang w:val="bg-BG" w:eastAsia="bg-BG"/>
              </w:rPr>
              <w:t xml:space="preserve"> са в риск и/или жертва на дискриминация; да населяват територии, в т.ч. с ниска гъстота на населението, селски и изолирани райони, части от населени места, в които е налице концентрация на проблеми, създаващи риск от бедност, социално изключване и маргинализация (висока безработица, ниски доходи, ограничен достъп до публични услуги, териториална сегрегация, пространствена изолация и др.).</w:t>
            </w:r>
          </w:p>
          <w:p w14:paraId="7A569342" w14:textId="77777777" w:rsidR="009C0430" w:rsidRDefault="00B27CD4">
            <w:pPr>
              <w:pStyle w:val="Text1"/>
              <w:spacing w:after="0"/>
              <w:ind w:left="0"/>
              <w:jc w:val="left"/>
              <w:outlineLvl w:val="0"/>
              <w:rPr>
                <w:b/>
                <w:szCs w:val="24"/>
                <w:lang w:val="bg-BG" w:eastAsia="bg-BG"/>
              </w:rPr>
            </w:pPr>
            <w:bookmarkStart w:id="67" w:name="_Toc445385345"/>
            <w:bookmarkStart w:id="68" w:name="_Toc445385599"/>
            <w:r>
              <w:rPr>
                <w:b/>
                <w:szCs w:val="24"/>
                <w:lang w:val="bg-BG" w:eastAsia="bg-BG"/>
              </w:rPr>
              <w:t>Не се допуска дублиране на финансиране на една и съща целева група от различни източници за една и съща дейност.</w:t>
            </w:r>
            <w:bookmarkEnd w:id="67"/>
            <w:bookmarkEnd w:id="68"/>
          </w:p>
          <w:p w14:paraId="665C403D" w14:textId="77777777" w:rsidR="009C0430" w:rsidRDefault="00B27CD4">
            <w:pPr>
              <w:pStyle w:val="Text1"/>
              <w:spacing w:before="120" w:after="120"/>
              <w:ind w:left="0"/>
              <w:outlineLvl w:val="0"/>
              <w:rPr>
                <w:szCs w:val="24"/>
                <w:lang w:val="bg-BG" w:eastAsia="bg-BG"/>
              </w:rPr>
            </w:pPr>
            <w:bookmarkStart w:id="69" w:name="_Toc445385600"/>
            <w:bookmarkStart w:id="70" w:name="_Toc445385346"/>
            <w:r>
              <w:rPr>
                <w:szCs w:val="24"/>
                <w:lang w:val="bg-BG" w:eastAsia="bg-BG"/>
              </w:rPr>
              <w:t xml:space="preserve">В проектното предложение е необходимо кандидатът да посочи конкретна/и целева/и група/и, към които ще бъдат насочени дейностите в проектното </w:t>
            </w:r>
            <w:proofErr w:type="spellStart"/>
            <w:r>
              <w:rPr>
                <w:szCs w:val="24"/>
                <w:lang w:val="bg-BG" w:eastAsia="bg-BG"/>
              </w:rPr>
              <w:t>предложениеи</w:t>
            </w:r>
            <w:proofErr w:type="spellEnd"/>
            <w:r>
              <w:rPr>
                <w:szCs w:val="24"/>
                <w:lang w:val="bg-BG" w:eastAsia="bg-BG"/>
              </w:rPr>
              <w:t xml:space="preserve"> какво ги прави част от маргинализирана общност. Необходимо е да се направи анализ на техните нужди и проблеми, както и към решаването, на кои от тях е насочен проектът. Целевата група, включена в проектното предложение, трябва да бъде описана с нейните конкретни характеристики съгласно Условията за кандидатстване и количествено определена – </w:t>
            </w:r>
            <w:r>
              <w:rPr>
                <w:szCs w:val="24"/>
                <w:lang w:val="bg-BG" w:eastAsia="bg-BG"/>
              </w:rPr>
              <w:lastRenderedPageBreak/>
              <w:t>колко представители от целевата група ще бъдат включени</w:t>
            </w:r>
            <w:bookmarkEnd w:id="69"/>
            <w:bookmarkEnd w:id="70"/>
            <w:r>
              <w:rPr>
                <w:szCs w:val="24"/>
                <w:lang w:val="bg-BG" w:eastAsia="bg-BG"/>
              </w:rPr>
              <w:t>. Посочва се съответствие с анализите, направени при подготовката на СВОМР.</w:t>
            </w:r>
          </w:p>
        </w:tc>
      </w:tr>
    </w:tbl>
    <w:p w14:paraId="70F905D2" w14:textId="77777777" w:rsidR="009C0430" w:rsidRDefault="00B27CD4">
      <w:pPr>
        <w:pStyle w:val="1"/>
      </w:pPr>
      <w:bookmarkStart w:id="71" w:name="_Toc488319660"/>
      <w:bookmarkStart w:id="72" w:name="_Toc445385601"/>
      <w:r>
        <w:lastRenderedPageBreak/>
        <w:t>16. Приложим режим на минимални/държавни помощи:</w:t>
      </w:r>
      <w:bookmarkEnd w:id="71"/>
      <w:bookmarkEnd w:id="72"/>
    </w:p>
    <w:tbl>
      <w:tblPr>
        <w:tblStyle w:val="afe"/>
        <w:tblW w:w="0" w:type="auto"/>
        <w:tblLook w:val="04A0" w:firstRow="1" w:lastRow="0" w:firstColumn="1" w:lastColumn="0" w:noHBand="0" w:noVBand="1"/>
      </w:tblPr>
      <w:tblGrid>
        <w:gridCol w:w="9496"/>
      </w:tblGrid>
      <w:tr w:rsidR="009C0430" w14:paraId="0706644A" w14:textId="77777777">
        <w:tc>
          <w:tcPr>
            <w:tcW w:w="9496" w:type="dxa"/>
          </w:tcPr>
          <w:p w14:paraId="1C614FC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Процедурата ще се изпълнява в съответствие с правилата за минимална помощ (правилото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публикуван в Официален вестник на ЕС L 352 от 24.12.2013г. </w:t>
            </w:r>
          </w:p>
          <w:p w14:paraId="5C3EADA8"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b/>
                <w:sz w:val="24"/>
                <w:szCs w:val="24"/>
                <w:lang w:eastAsia="bg-BG"/>
              </w:rPr>
              <w:t>Минимална помощ</w:t>
            </w:r>
            <w:r>
              <w:rPr>
                <w:rFonts w:ascii="Times New Roman" w:eastAsia="Times New Roman" w:hAnsi="Times New Roman" w:cs="Times New Roman"/>
                <w:sz w:val="24"/>
                <w:szCs w:val="24"/>
                <w:lang w:eastAsia="bg-BG"/>
              </w:rPr>
              <w:t>”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чл.107 и 108 от Договора за функционирането на ЕС по отношение на минималната помощ.</w:t>
            </w:r>
          </w:p>
          <w:p w14:paraId="6B98E57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b/>
                <w:sz w:val="24"/>
                <w:szCs w:val="24"/>
                <w:lang w:eastAsia="bg-BG"/>
              </w:rPr>
              <w:t>Икономическата дейност</w:t>
            </w:r>
            <w:r>
              <w:rPr>
                <w:rFonts w:ascii="Times New Roman" w:eastAsia="Times New Roman" w:hAnsi="Times New Roman" w:cs="Times New Roman"/>
                <w:sz w:val="24"/>
                <w:szCs w:val="24"/>
                <w:lang w:eastAsia="bg-BG"/>
              </w:rPr>
              <w:t>” се изразява в предлагането на стоки и/или услуги на съществуващ конкурентен пазар.</w:t>
            </w:r>
          </w:p>
          <w:p w14:paraId="63A8D5F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Предвидените за финансиране дейности по процедурата са с икономически характер и е налице съществуващ пазар за тях. Следователно всички разходи на кандидата/партньора/</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 свързани с изпълнението на дейностите по проектното предложение, са с икономически характер и ще се считат за минимална помощ. В тази връзка целият размер на безвъзмездната финансова помощ е минимална помощ за кандидата/партньор/</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w:t>
            </w:r>
          </w:p>
          <w:p w14:paraId="5F25FBD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Кандидат община попада извън определението за предприятие и респективно извън обхвата и правилата на държавните и минимални помощи, тъй като икономическата й дейност е несъществена и неотделима част от правомощията й на местна власт. </w:t>
            </w:r>
          </w:p>
          <w:p w14:paraId="4F3B3208"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Към момента на сключване на договор общините представят Анализ за дейността си, като доказателство, че са извън правилата за минимална </w:t>
            </w:r>
            <w:proofErr w:type="spellStart"/>
            <w:r>
              <w:rPr>
                <w:rFonts w:ascii="Times New Roman" w:eastAsia="Times New Roman" w:hAnsi="Times New Roman" w:cs="Times New Roman"/>
                <w:sz w:val="24"/>
                <w:szCs w:val="24"/>
                <w:lang w:eastAsia="bg-BG"/>
              </w:rPr>
              <w:t>помощ.В</w:t>
            </w:r>
            <w:proofErr w:type="spellEnd"/>
            <w:r>
              <w:rPr>
                <w:rFonts w:ascii="Times New Roman" w:eastAsia="Times New Roman" w:hAnsi="Times New Roman" w:cs="Times New Roman"/>
                <w:sz w:val="24"/>
                <w:szCs w:val="24"/>
                <w:lang w:eastAsia="bg-BG"/>
              </w:rPr>
              <w:t xml:space="preserve"> Анализа, който представят е необходимо еднозначно да бъде обоснована или неделимостта от упражняването на публичните правомощия на общината, тъй като същата е необходима за упражняване на публичната й власт, или ако икономическата дейност не е абсолютно необходима за упражняване на публична власт, но тя значително я улеснява и подкрепя.</w:t>
            </w:r>
          </w:p>
          <w:p w14:paraId="2CFB4F53"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Общините представляват публични субекти – структури на местната власт. Наред с неикономическите дейности и функции на местна власт, които изпълняват, те извършват и икономическа дейност. Икономическата дейност на общините е несъществена по размер и обхват спрямо неикономическата им и е неотделима част от правомощията им на местна власт. Следователно, всички дейности на общините/районите на общини са свързани с упражняването на правомощията им на местна власт. Поради това, те попадат извън определението за предприятие и респективно извън обхвата на правилата за държавни и минимални помощи.</w:t>
            </w:r>
          </w:p>
          <w:p w14:paraId="401EE4A4"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Размерът на отпуснатата минимална помощ по настоящата процедура ще бъде записан в договора за предоставяне на безвъзмездна финансова помощ.</w:t>
            </w:r>
          </w:p>
          <w:p w14:paraId="7C3637F9"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Съгласно чл. 3, т. 2 от Регламент (ЕС) № 1407/2013 общият размер на 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предоставяна във всяка държава членка на едно и също предприятие, не надхвърля 200 000 EUR или 391 166 лв., изчислени по официалния курс на БНБ за период от три </w:t>
            </w:r>
            <w:r>
              <w:rPr>
                <w:rFonts w:ascii="Times New Roman" w:eastAsia="Times New Roman" w:hAnsi="Times New Roman" w:cs="Times New Roman"/>
                <w:sz w:val="24"/>
                <w:szCs w:val="24"/>
                <w:lang w:eastAsia="bg-BG"/>
              </w:rPr>
              <w:lastRenderedPageBreak/>
              <w:t>бюджетни години</w:t>
            </w:r>
            <w:r>
              <w:rPr>
                <w:rStyle w:val="afb"/>
                <w:rFonts w:ascii="Times New Roman" w:eastAsia="Times New Roman" w:hAnsi="Times New Roman" w:cs="Times New Roman"/>
                <w:sz w:val="24"/>
                <w:szCs w:val="24"/>
                <w:lang w:eastAsia="bg-BG"/>
              </w:rPr>
              <w:footnoteReference w:id="9"/>
            </w:r>
            <w:r>
              <w:rPr>
                <w:rFonts w:ascii="Times New Roman" w:eastAsia="Times New Roman" w:hAnsi="Times New Roman" w:cs="Times New Roman"/>
                <w:sz w:val="24"/>
                <w:szCs w:val="24"/>
                <w:lang w:eastAsia="bg-BG"/>
              </w:rPr>
              <w:t>, като този период обхваща текущата бюджетна година и предходните две.</w:t>
            </w:r>
          </w:p>
          <w:p w14:paraId="470E47D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Общият размер на 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предоставяна във всяка държава членка на едно и също предприятие, което осъществява автомобилни товарни превози за чужда сметка или срещу възнаграждение, не надхвърля 100 000 EUR или 195 583 лв., изчислени по официалния курс на БНБ за период от три бюджетни години. Тази помощ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не се използва за придобиването на товарни автомобили за сухопътен транспорт.</w:t>
            </w:r>
          </w:p>
          <w:p w14:paraId="09E6CAA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Когато едно и също предприятие изпълнява автомобилни товарни превози за чужда сметка или срещу възнаграждение, както и други </w:t>
            </w:r>
            <w:proofErr w:type="spellStart"/>
            <w:r>
              <w:rPr>
                <w:rFonts w:ascii="Times New Roman" w:eastAsia="Times New Roman" w:hAnsi="Times New Roman" w:cs="Times New Roman"/>
                <w:sz w:val="24"/>
                <w:szCs w:val="24"/>
                <w:lang w:eastAsia="bg-BG"/>
              </w:rPr>
              <w:t>дейности</w:t>
            </w:r>
            <w:proofErr w:type="spellEnd"/>
            <w:r>
              <w:rPr>
                <w:rFonts w:ascii="Times New Roman" w:eastAsia="Times New Roman" w:hAnsi="Times New Roman" w:cs="Times New Roman"/>
                <w:sz w:val="24"/>
                <w:szCs w:val="24"/>
                <w:lang w:eastAsia="bg-BG"/>
              </w:rPr>
              <w:t xml:space="preserve">, за които се прилага таванът от 200 000 евро, таванът от 200 000 евро по тази процедура ще се прилага за едно и също предприятие, което следва да води аналитична система за счетоводна отчетност за </w:t>
            </w:r>
            <w:proofErr w:type="spellStart"/>
            <w:r>
              <w:rPr>
                <w:rFonts w:ascii="Times New Roman" w:eastAsia="Times New Roman" w:hAnsi="Times New Roman" w:cs="Times New Roman"/>
                <w:sz w:val="24"/>
                <w:szCs w:val="24"/>
                <w:lang w:eastAsia="bg-BG"/>
              </w:rPr>
              <w:t>всякадейност</w:t>
            </w:r>
            <w:proofErr w:type="spellEnd"/>
            <w:r>
              <w:rPr>
                <w:rFonts w:ascii="Times New Roman" w:eastAsia="Times New Roman" w:hAnsi="Times New Roman" w:cs="Times New Roman"/>
                <w:sz w:val="24"/>
                <w:szCs w:val="24"/>
                <w:lang w:eastAsia="bg-BG"/>
              </w:rPr>
              <w:t xml:space="preserve"> като разграничава приходите, разходите, свързани с всяка </w:t>
            </w:r>
            <w:proofErr w:type="spellStart"/>
            <w:r>
              <w:rPr>
                <w:rFonts w:ascii="Times New Roman" w:eastAsia="Times New Roman" w:hAnsi="Times New Roman" w:cs="Times New Roman"/>
                <w:sz w:val="24"/>
                <w:szCs w:val="24"/>
                <w:lang w:eastAsia="bg-BG"/>
              </w:rPr>
              <w:t>дейност</w:t>
            </w:r>
            <w:proofErr w:type="spellEnd"/>
            <w:r>
              <w:rPr>
                <w:rFonts w:ascii="Times New Roman" w:eastAsia="Times New Roman" w:hAnsi="Times New Roman" w:cs="Times New Roman"/>
                <w:sz w:val="24"/>
                <w:szCs w:val="24"/>
                <w:lang w:eastAsia="bg-BG"/>
              </w:rPr>
              <w:t xml:space="preserve">, което гарантира, че помощите за </w:t>
            </w:r>
            <w:proofErr w:type="spellStart"/>
            <w:r>
              <w:rPr>
                <w:rFonts w:ascii="Times New Roman" w:eastAsia="Times New Roman" w:hAnsi="Times New Roman" w:cs="Times New Roman"/>
                <w:sz w:val="24"/>
                <w:szCs w:val="24"/>
                <w:lang w:eastAsia="bg-BG"/>
              </w:rPr>
              <w:t>дейността</w:t>
            </w:r>
            <w:proofErr w:type="spellEnd"/>
            <w:r>
              <w:rPr>
                <w:rFonts w:ascii="Times New Roman" w:eastAsia="Times New Roman" w:hAnsi="Times New Roman" w:cs="Times New Roman"/>
                <w:sz w:val="24"/>
                <w:szCs w:val="24"/>
                <w:lang w:eastAsia="bg-BG"/>
              </w:rPr>
              <w:t xml:space="preserve"> по автомобилни товарни превози не надвишава левовата </w:t>
            </w:r>
            <w:proofErr w:type="spellStart"/>
            <w:r>
              <w:rPr>
                <w:rFonts w:ascii="Times New Roman" w:eastAsia="Times New Roman" w:hAnsi="Times New Roman" w:cs="Times New Roman"/>
                <w:sz w:val="24"/>
                <w:szCs w:val="24"/>
                <w:lang w:eastAsia="bg-BG"/>
              </w:rPr>
              <w:t>равностойност</w:t>
            </w:r>
            <w:proofErr w:type="spellEnd"/>
            <w:r>
              <w:rPr>
                <w:rFonts w:ascii="Times New Roman" w:eastAsia="Times New Roman" w:hAnsi="Times New Roman" w:cs="Times New Roman"/>
                <w:sz w:val="24"/>
                <w:szCs w:val="24"/>
                <w:lang w:eastAsia="bg-BG"/>
              </w:rPr>
              <w:t xml:space="preserve"> на 100 000 евро и че помощта </w:t>
            </w:r>
            <w:proofErr w:type="spellStart"/>
            <w:r>
              <w:rPr>
                <w:rFonts w:ascii="Times New Roman" w:eastAsia="Times New Roman" w:hAnsi="Times New Roman" w:cs="Times New Roman"/>
                <w:sz w:val="24"/>
                <w:szCs w:val="24"/>
                <w:lang w:val="en-US" w:eastAsia="bg-BG"/>
              </w:rPr>
              <w:t>deminimis</w:t>
            </w:r>
            <w:proofErr w:type="spellEnd"/>
            <w:r>
              <w:rPr>
                <w:rFonts w:ascii="Times New Roman" w:eastAsia="Times New Roman" w:hAnsi="Times New Roman" w:cs="Times New Roman"/>
                <w:sz w:val="24"/>
                <w:szCs w:val="24"/>
                <w:lang w:eastAsia="bg-BG"/>
              </w:rPr>
              <w:t>не се използва за придобиване на товарни автомобили.</w:t>
            </w:r>
          </w:p>
          <w:p w14:paraId="75F9A123"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Размерът на предоставените минимални помощи се определя като сбор от помощта</w:t>
            </w:r>
            <w:r>
              <w:rPr>
                <w:rStyle w:val="afb"/>
                <w:rFonts w:ascii="Times New Roman" w:eastAsia="Times New Roman" w:hAnsi="Times New Roman" w:cs="Times New Roman"/>
                <w:sz w:val="24"/>
                <w:szCs w:val="24"/>
                <w:lang w:eastAsia="bg-BG"/>
              </w:rPr>
              <w:footnoteReference w:id="10"/>
            </w:r>
            <w:r>
              <w:rPr>
                <w:rFonts w:ascii="Times New Roman" w:eastAsia="Times New Roman" w:hAnsi="Times New Roman" w:cs="Times New Roman"/>
                <w:sz w:val="24"/>
                <w:szCs w:val="24"/>
                <w:lang w:eastAsia="bg-BG"/>
              </w:rPr>
              <w:t>, за която се кандидатства и получената минимална помощ на територията на Република България от:</w:t>
            </w:r>
          </w:p>
          <w:p w14:paraId="04A7C390"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ab/>
              <w:t>предприятието кандидат/партньор;</w:t>
            </w:r>
          </w:p>
          <w:p w14:paraId="33062AEE"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ab/>
              <w:t xml:space="preserve">предприятията, с които кандидата/партньора образува „едно и също предприятие“ по смисъла на чл. 2, </w:t>
            </w:r>
            <w:proofErr w:type="spellStart"/>
            <w:r>
              <w:rPr>
                <w:rFonts w:ascii="Times New Roman" w:eastAsia="Times New Roman" w:hAnsi="Times New Roman" w:cs="Times New Roman"/>
                <w:sz w:val="24"/>
                <w:szCs w:val="24"/>
                <w:lang w:eastAsia="bg-BG"/>
              </w:rPr>
              <w:t>пар</w:t>
            </w:r>
            <w:proofErr w:type="spellEnd"/>
            <w:r>
              <w:rPr>
                <w:rFonts w:ascii="Times New Roman" w:eastAsia="Times New Roman" w:hAnsi="Times New Roman" w:cs="Times New Roman"/>
                <w:sz w:val="24"/>
                <w:szCs w:val="24"/>
                <w:lang w:eastAsia="bg-BG"/>
              </w:rPr>
              <w:t>. 2 на Регламент (ЕС) № 1407/2013;</w:t>
            </w:r>
          </w:p>
          <w:p w14:paraId="0EA9A81B"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Pr>
                <w:rFonts w:ascii="Times New Roman" w:eastAsia="Times New Roman" w:hAnsi="Times New Roman" w:cs="Times New Roman"/>
                <w:sz w:val="24"/>
                <w:szCs w:val="24"/>
                <w:lang w:eastAsia="bg-BG"/>
              </w:rPr>
              <w:tab/>
              <w:t xml:space="preserve">всички предприятия, които са се влели, слели с или са придобити от някое от предприятията,  образуващи „едно и също предприятие“ с кандидата/партньора съгласно чл. 3, </w:t>
            </w:r>
            <w:proofErr w:type="spellStart"/>
            <w:r>
              <w:rPr>
                <w:rFonts w:ascii="Times New Roman" w:eastAsia="Times New Roman" w:hAnsi="Times New Roman" w:cs="Times New Roman"/>
                <w:sz w:val="24"/>
                <w:szCs w:val="24"/>
                <w:lang w:eastAsia="bg-BG"/>
              </w:rPr>
              <w:t>пар</w:t>
            </w:r>
            <w:proofErr w:type="spellEnd"/>
            <w:r>
              <w:rPr>
                <w:rFonts w:ascii="Times New Roman" w:eastAsia="Times New Roman" w:hAnsi="Times New Roman" w:cs="Times New Roman"/>
                <w:sz w:val="24"/>
                <w:szCs w:val="24"/>
                <w:lang w:eastAsia="bg-BG"/>
              </w:rPr>
              <w:t>. 8 на Регламент (ЕС) № 1407/2013;</w:t>
            </w:r>
          </w:p>
          <w:p w14:paraId="1DA2DDC4" w14:textId="77777777" w:rsidR="009C0430" w:rsidRDefault="00B27CD4">
            <w:pPr>
              <w:spacing w:after="120"/>
              <w:jc w:val="both"/>
              <w:rPr>
                <w:sz w:val="24"/>
                <w:szCs w:val="24"/>
              </w:rPr>
            </w:pPr>
            <w:r>
              <w:rPr>
                <w:rFonts w:ascii="Times New Roman" w:eastAsia="Times New Roman" w:hAnsi="Times New Roman" w:cs="Times New Roman"/>
                <w:sz w:val="24"/>
                <w:szCs w:val="24"/>
                <w:lang w:eastAsia="bg-BG"/>
              </w:rPr>
              <w:t>4.</w:t>
            </w:r>
            <w:r>
              <w:rPr>
                <w:rFonts w:ascii="Times New Roman" w:eastAsia="Times New Roman" w:hAnsi="Times New Roman" w:cs="Times New Roman"/>
                <w:sz w:val="24"/>
                <w:szCs w:val="24"/>
                <w:lang w:eastAsia="bg-BG"/>
              </w:rPr>
              <w:tab/>
              <w:t xml:space="preserve">предприятията, образуващи „едно и също предприятие“ с кандидата/партньора, които са се възползвали от минимална помощ, получена преди разделяне или отделяне, съгласно чл. 3, </w:t>
            </w:r>
            <w:proofErr w:type="spellStart"/>
            <w:r>
              <w:rPr>
                <w:rFonts w:ascii="Times New Roman" w:eastAsia="Times New Roman" w:hAnsi="Times New Roman" w:cs="Times New Roman"/>
                <w:sz w:val="24"/>
                <w:szCs w:val="24"/>
                <w:lang w:eastAsia="bg-BG"/>
              </w:rPr>
              <w:t>пар</w:t>
            </w:r>
            <w:proofErr w:type="spellEnd"/>
            <w:r>
              <w:rPr>
                <w:rFonts w:ascii="Times New Roman" w:eastAsia="Times New Roman" w:hAnsi="Times New Roman" w:cs="Times New Roman"/>
                <w:sz w:val="24"/>
                <w:szCs w:val="24"/>
                <w:lang w:eastAsia="bg-BG"/>
              </w:rPr>
              <w:t>. 9 от Регламент (ЕС) № 1407/2013.</w:t>
            </w:r>
          </w:p>
          <w:p w14:paraId="0C226666" w14:textId="77777777" w:rsidR="009C0430" w:rsidRDefault="00B27CD4">
            <w:pPr>
              <w:spacing w:before="120" w:after="120"/>
              <w:jc w:val="both"/>
              <w:rPr>
                <w:sz w:val="24"/>
                <w:szCs w:val="24"/>
              </w:rPr>
            </w:pPr>
            <w:r>
              <w:rPr>
                <w:rFonts w:ascii="Times New Roman" w:eastAsia="Times New Roman" w:hAnsi="Times New Roman" w:cs="Times New Roman"/>
                <w:b/>
                <w:sz w:val="24"/>
                <w:szCs w:val="24"/>
                <w:lang w:eastAsia="bg-BG"/>
              </w:rPr>
              <w:t>„Предприятие“</w:t>
            </w:r>
            <w:r>
              <w:rPr>
                <w:rFonts w:ascii="Times New Roman" w:eastAsia="Times New Roman" w:hAnsi="Times New Roman" w:cs="Times New Roman"/>
                <w:sz w:val="24"/>
                <w:szCs w:val="24"/>
                <w:lang w:eastAsia="bg-BG"/>
              </w:rPr>
              <w:t xml:space="preserve"> по смисъла на правилата за държавните/минималните помощи, е всеки субект, упражняващ стопанска дейност, независимо от правния му статут и начина, по който той се финансира. </w:t>
            </w:r>
          </w:p>
          <w:p w14:paraId="1EBF0164"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По смисъла на Регламент (ЕС) № 1407/2013 „едно и също предприятие“ означава всички предприятия, които поддържат помежду си поне един вид от следните взаимоотношения: </w:t>
            </w:r>
          </w:p>
          <w:p w14:paraId="20A524DC"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а) дадено предприятие притежава мнозинството от гласовете на акционерите или съдружниците в друго предприятие; </w:t>
            </w:r>
          </w:p>
          <w:p w14:paraId="7A83C2FE"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2BDC7785"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43E1FCDD"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г) дадено предприятие, което е акционер или съдружник в друго предприятие, </w:t>
            </w:r>
            <w:r>
              <w:rPr>
                <w:rFonts w:ascii="Times New Roman" w:eastAsia="Times New Roman" w:hAnsi="Times New Roman" w:cs="Times New Roman"/>
                <w:sz w:val="24"/>
                <w:szCs w:val="24"/>
                <w:lang w:eastAsia="bg-BG"/>
              </w:rPr>
              <w:lastRenderedPageBreak/>
              <w:t>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4FAE7211"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14:paraId="725AD07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Предприятия, които поддържат едно от тези взаимоотношения посредством физическо лице или група от действащи съвместно физически лица, също се считат за едно и също предприятие. В този случай физическо лице се приравнява на предприятие по смисъла </w:t>
            </w:r>
            <w:proofErr w:type="spellStart"/>
            <w:r>
              <w:rPr>
                <w:rFonts w:ascii="Times New Roman" w:eastAsia="Times New Roman" w:hAnsi="Times New Roman" w:cs="Times New Roman"/>
                <w:sz w:val="24"/>
                <w:szCs w:val="24"/>
                <w:lang w:eastAsia="bg-BG"/>
              </w:rPr>
              <w:t>наРегламент</w:t>
            </w:r>
            <w:proofErr w:type="spellEnd"/>
            <w:r>
              <w:rPr>
                <w:rFonts w:ascii="Times New Roman" w:eastAsia="Times New Roman" w:hAnsi="Times New Roman" w:cs="Times New Roman"/>
                <w:sz w:val="24"/>
                <w:szCs w:val="24"/>
                <w:lang w:eastAsia="bg-BG"/>
              </w:rPr>
              <w:t xml:space="preserve"> (ЕС) № 1407/2013, само ако извършва икономическа </w:t>
            </w:r>
            <w:proofErr w:type="spellStart"/>
            <w:r>
              <w:rPr>
                <w:rFonts w:ascii="Times New Roman" w:eastAsia="Times New Roman" w:hAnsi="Times New Roman" w:cs="Times New Roman"/>
                <w:sz w:val="24"/>
                <w:szCs w:val="24"/>
                <w:lang w:eastAsia="bg-BG"/>
              </w:rPr>
              <w:t>дейност</w:t>
            </w:r>
            <w:proofErr w:type="spellEnd"/>
            <w:r>
              <w:rPr>
                <w:rFonts w:ascii="Times New Roman" w:eastAsia="Times New Roman" w:hAnsi="Times New Roman" w:cs="Times New Roman"/>
                <w:sz w:val="24"/>
                <w:szCs w:val="24"/>
                <w:lang w:eastAsia="bg-BG"/>
              </w:rPr>
              <w:t xml:space="preserve"> под </w:t>
            </w:r>
            <w:proofErr w:type="spellStart"/>
            <w:r>
              <w:rPr>
                <w:rFonts w:ascii="Times New Roman" w:eastAsia="Times New Roman" w:hAnsi="Times New Roman" w:cs="Times New Roman"/>
                <w:sz w:val="24"/>
                <w:szCs w:val="24"/>
                <w:lang w:eastAsia="bg-BG"/>
              </w:rPr>
              <w:t>някакваформа</w:t>
            </w:r>
            <w:proofErr w:type="spellEnd"/>
            <w:r>
              <w:rPr>
                <w:rFonts w:ascii="Times New Roman" w:eastAsia="Times New Roman" w:hAnsi="Times New Roman" w:cs="Times New Roman"/>
                <w:sz w:val="24"/>
                <w:szCs w:val="24"/>
                <w:lang w:eastAsia="bg-BG"/>
              </w:rPr>
              <w:t xml:space="preserve">, т.е. е едноличен търговец и/или упражнява свободна професия и/или участва </w:t>
            </w:r>
            <w:proofErr w:type="spellStart"/>
            <w:r>
              <w:rPr>
                <w:rFonts w:ascii="Times New Roman" w:eastAsia="Times New Roman" w:hAnsi="Times New Roman" w:cs="Times New Roman"/>
                <w:sz w:val="24"/>
                <w:szCs w:val="24"/>
                <w:lang w:eastAsia="bg-BG"/>
              </w:rPr>
              <w:t>вуправлението</w:t>
            </w:r>
            <w:proofErr w:type="spellEnd"/>
            <w:r>
              <w:rPr>
                <w:rFonts w:ascii="Times New Roman" w:eastAsia="Times New Roman" w:hAnsi="Times New Roman" w:cs="Times New Roman"/>
                <w:sz w:val="24"/>
                <w:szCs w:val="24"/>
                <w:lang w:eastAsia="bg-BG"/>
              </w:rPr>
              <w:t xml:space="preserve"> и контрола върху </w:t>
            </w:r>
            <w:proofErr w:type="spellStart"/>
            <w:r>
              <w:rPr>
                <w:rFonts w:ascii="Times New Roman" w:eastAsia="Times New Roman" w:hAnsi="Times New Roman" w:cs="Times New Roman"/>
                <w:sz w:val="24"/>
                <w:szCs w:val="24"/>
                <w:lang w:eastAsia="bg-BG"/>
              </w:rPr>
              <w:t>дейността</w:t>
            </w:r>
            <w:proofErr w:type="spellEnd"/>
            <w:r>
              <w:rPr>
                <w:rFonts w:ascii="Times New Roman" w:eastAsia="Times New Roman" w:hAnsi="Times New Roman" w:cs="Times New Roman"/>
                <w:sz w:val="24"/>
                <w:szCs w:val="24"/>
                <w:lang w:eastAsia="bg-BG"/>
              </w:rPr>
              <w:t xml:space="preserve"> на някое от предприятията.</w:t>
            </w:r>
          </w:p>
          <w:p w14:paraId="20FC3A5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Във връзка с извършване на  проверката по същество на обстоятелствата по чл.2, ал.2 на Регламент (ЕС) 1407/2013 („едно и също предприятие“), Управляващият орган може да изиска от Кандидата някои от следните документи (за кандидата, партньора/</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и всички свързани с тях предприятие), отразяващи разпределението на капитала:</w:t>
            </w:r>
          </w:p>
          <w:p w14:paraId="07574F5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Книга за акционерите – приложимо за акционерните дружества с поименни акции;</w:t>
            </w:r>
          </w:p>
          <w:p w14:paraId="3B8C4CE5"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Актуална справка за разпределението на капитала на дружеството – приложимо за акционерните дружества;</w:t>
            </w:r>
          </w:p>
          <w:p w14:paraId="106ECA2E"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Дружествен договор – приложимо за дружествата с ограничена отговорност, едноличните дружества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054F0A2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Книга за акционерите и устав – приложимо за командитните дружества с акции;</w:t>
            </w:r>
          </w:p>
          <w:p w14:paraId="44451990"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Устав – приложимо за кооперациите.</w:t>
            </w:r>
          </w:p>
          <w:p w14:paraId="29F2874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Посочените изискуеми документи се представят като копие, заверено от кандидата, в случай че не са оповестени в Търговския регистър и РЮЛНЦ. В случай, че посочените документи са оповестени в Търговския регистър и РЮЛНЦ, същите ще се проверяват от експерти на УО или от избраната организация по реда на ЗОП по служебен път, съгласно чл.23, ал.4 от Закона за търговския регистър и РЮЛНЦ.</w:t>
            </w:r>
          </w:p>
          <w:p w14:paraId="583C59BA"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Кандидати и/или партньори са </w:t>
            </w:r>
            <w:r>
              <w:rPr>
                <w:rFonts w:ascii="Times New Roman" w:eastAsia="Times New Roman" w:hAnsi="Times New Roman" w:cs="Times New Roman"/>
                <w:b/>
                <w:sz w:val="24"/>
                <w:szCs w:val="24"/>
                <w:lang w:eastAsia="bg-BG"/>
              </w:rPr>
              <w:t>недопустими да получат минимална помощ</w:t>
            </w:r>
            <w:r>
              <w:rPr>
                <w:rStyle w:val="afb"/>
                <w:rFonts w:ascii="Times New Roman" w:eastAsia="Times New Roman" w:hAnsi="Times New Roman" w:cs="Times New Roman"/>
                <w:b/>
                <w:sz w:val="24"/>
                <w:szCs w:val="24"/>
                <w:lang w:eastAsia="bg-BG"/>
              </w:rPr>
              <w:footnoteReference w:id="11"/>
            </w:r>
            <w:r>
              <w:rPr>
                <w:rFonts w:ascii="Times New Roman" w:eastAsia="Times New Roman" w:hAnsi="Times New Roman" w:cs="Times New Roman"/>
                <w:b/>
                <w:sz w:val="24"/>
                <w:szCs w:val="24"/>
                <w:lang w:eastAsia="bg-BG"/>
              </w:rPr>
              <w:t>, ако попадат в забранителните режими на помощ</w:t>
            </w:r>
            <w:r>
              <w:rPr>
                <w:rFonts w:ascii="Times New Roman" w:eastAsia="Times New Roman" w:hAnsi="Times New Roman" w:cs="Times New Roman"/>
                <w:sz w:val="24"/>
                <w:szCs w:val="24"/>
                <w:lang w:eastAsia="bg-BG"/>
              </w:rPr>
              <w:t xml:space="preserve"> в съответствие с Регламент (ЕС) № 1407/2013, а именно:</w:t>
            </w:r>
          </w:p>
          <w:p w14:paraId="1E4B117C"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а) помощите, предоставяни на предприятия, които извършват дейност </w:t>
            </w:r>
            <w:r>
              <w:rPr>
                <w:rFonts w:ascii="Times New Roman" w:eastAsia="Times New Roman" w:hAnsi="Times New Roman" w:cs="Times New Roman"/>
                <w:b/>
                <w:sz w:val="24"/>
                <w:szCs w:val="24"/>
                <w:lang w:eastAsia="bg-BG"/>
              </w:rPr>
              <w:t>в сектора на рибарството и аквакултурите</w:t>
            </w:r>
            <w:r>
              <w:rPr>
                <w:rFonts w:ascii="Times New Roman" w:eastAsia="Times New Roman" w:hAnsi="Times New Roman" w:cs="Times New Roman"/>
                <w:sz w:val="24"/>
                <w:szCs w:val="24"/>
                <w:lang w:eastAsia="bg-BG"/>
              </w:rPr>
              <w:t>, обхванати от Регламент (ЕС) № 1379/2013 на Европейския парламент и на Съвета от 11 декември 2013г.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 от 28.12.2013 г.);</w:t>
            </w:r>
          </w:p>
          <w:p w14:paraId="40EA7E84"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б) помощите, предоставяни на предприятия, които извършват дейност </w:t>
            </w:r>
            <w:r>
              <w:rPr>
                <w:rFonts w:ascii="Times New Roman" w:eastAsia="Times New Roman" w:hAnsi="Times New Roman" w:cs="Times New Roman"/>
                <w:b/>
                <w:sz w:val="24"/>
                <w:szCs w:val="24"/>
                <w:lang w:eastAsia="bg-BG"/>
              </w:rPr>
              <w:t xml:space="preserve">в областта на </w:t>
            </w:r>
            <w:r>
              <w:rPr>
                <w:rFonts w:ascii="Times New Roman" w:eastAsia="Times New Roman" w:hAnsi="Times New Roman" w:cs="Times New Roman"/>
                <w:b/>
                <w:sz w:val="24"/>
                <w:szCs w:val="24"/>
                <w:lang w:eastAsia="bg-BG"/>
              </w:rPr>
              <w:lastRenderedPageBreak/>
              <w:t>първичното производство на селскостопански продукти (</w:t>
            </w:r>
            <w:r>
              <w:rPr>
                <w:rFonts w:ascii="Times New Roman" w:eastAsia="Times New Roman" w:hAnsi="Times New Roman" w:cs="Times New Roman"/>
                <w:sz w:val="24"/>
                <w:szCs w:val="24"/>
                <w:lang w:eastAsia="bg-BG"/>
              </w:rPr>
              <w:t xml:space="preserve">„селскостопански продукти“ са продукти, </w:t>
            </w:r>
            <w:r>
              <w:rPr>
                <w:rFonts w:ascii="Times New Roman" w:eastAsia="Times New Roman" w:hAnsi="Times New Roman" w:cs="Times New Roman"/>
                <w:b/>
                <w:sz w:val="24"/>
                <w:szCs w:val="24"/>
                <w:lang w:eastAsia="bg-BG"/>
              </w:rPr>
              <w:t>изброени в приложение I</w:t>
            </w:r>
            <w:r>
              <w:rPr>
                <w:rFonts w:ascii="Times New Roman" w:eastAsia="Times New Roman" w:hAnsi="Times New Roman" w:cs="Times New Roman"/>
                <w:sz w:val="24"/>
                <w:szCs w:val="24"/>
                <w:lang w:eastAsia="bg-BG"/>
              </w:rPr>
              <w:t xml:space="preserve"> към Договора (ДФЕС), с изключение на продуктите на рибарството и аквакултурите, включени в приложното поле на Регламент (ЕС) № 1379/2013).</w:t>
            </w:r>
          </w:p>
          <w:p w14:paraId="7F0457D4" w14:textId="77777777" w:rsidR="009C0430" w:rsidRDefault="00B27CD4">
            <w:pPr>
              <w:pStyle w:val="Default"/>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14:paraId="64AA63F6" w14:textId="77777777" w:rsidR="009C0430" w:rsidRDefault="00B27CD4">
            <w:pPr>
              <w:pStyle w:val="Default"/>
              <w:jc w:val="both"/>
            </w:pPr>
            <w:r>
              <w:t>i)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w:t>
            </w:r>
          </w:p>
          <w:p w14:paraId="77C9CF9F" w14:textId="77777777" w:rsidR="009C0430" w:rsidRDefault="00B27CD4">
            <w:pPr>
              <w:pStyle w:val="Default"/>
              <w:jc w:val="both"/>
            </w:pPr>
            <w:r>
              <w:t>ii) когато помощта е свързана със задължението да бъде прехвърлена частично или изцяло на първичните производители;</w:t>
            </w:r>
          </w:p>
          <w:p w14:paraId="142EFF40" w14:textId="77777777" w:rsidR="009C0430" w:rsidRDefault="00B27CD4">
            <w:pPr>
              <w:pStyle w:val="Default"/>
              <w:jc w:val="both"/>
            </w:pPr>
            <w:r>
              <w:t>г) помощите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6A02F0B8" w14:textId="77777777" w:rsidR="009C0430" w:rsidRDefault="00B27CD4">
            <w:pPr>
              <w:pStyle w:val="Default"/>
              <w:jc w:val="both"/>
            </w:pPr>
            <w:r>
              <w:t>д) помощите, подчинени на преференциалното използване на национални продукти спрямо вносни такива.</w:t>
            </w:r>
          </w:p>
          <w:p w14:paraId="0DD9C513" w14:textId="77777777" w:rsidR="009C0430" w:rsidRDefault="00B27CD4">
            <w:pPr>
              <w:pStyle w:val="Default"/>
              <w:jc w:val="both"/>
            </w:pPr>
            <w:r>
              <w:t xml:space="preserve">При оценка изпълнението на условията за предоставяне на минимална помощ се вземат предвид дефинициите по чл. 2, </w:t>
            </w:r>
            <w:proofErr w:type="spellStart"/>
            <w:r>
              <w:t>пар</w:t>
            </w:r>
            <w:proofErr w:type="spellEnd"/>
            <w:r>
              <w:t>. 1 от Регламента.</w:t>
            </w:r>
            <w:r>
              <w:rPr>
                <w:rStyle w:val="afb"/>
              </w:rPr>
              <w:footnoteReference w:id="12"/>
            </w:r>
          </w:p>
          <w:p w14:paraId="766A1189" w14:textId="77777777" w:rsidR="009C0430" w:rsidRDefault="009C0430">
            <w:pPr>
              <w:pStyle w:val="Default"/>
              <w:jc w:val="both"/>
            </w:pPr>
          </w:p>
          <w:p w14:paraId="5E2FB858" w14:textId="77777777" w:rsidR="009C0430" w:rsidRDefault="009C0430">
            <w:pPr>
              <w:spacing w:before="120" w:after="120"/>
              <w:jc w:val="both"/>
              <w:rPr>
                <w:rFonts w:ascii="Times New Roman" w:eastAsia="Times New Roman" w:hAnsi="Times New Roman" w:cs="Times New Roman"/>
                <w:sz w:val="24"/>
                <w:szCs w:val="24"/>
                <w:lang w:eastAsia="bg-BG"/>
              </w:rPr>
            </w:pPr>
          </w:p>
          <w:p w14:paraId="67BFE04F"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целите на Регламент(ЕС) № 1407/2014 г. се прилагат следните определения:</w:t>
            </w:r>
          </w:p>
          <w:p w14:paraId="470D1675"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 „селскостопански продукти“ са продукти, изброени в приложение I към Договора, с изключение на продуктите на рибарството и аквакултурите, включени в приложното поле на Регламент (ЕО) № 104/2000;</w:t>
            </w:r>
          </w:p>
          <w:p w14:paraId="5C23659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б)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w:t>
            </w:r>
            <w:proofErr w:type="spellStart"/>
            <w:r>
              <w:rPr>
                <w:rFonts w:ascii="Times New Roman" w:eastAsia="Times New Roman" w:hAnsi="Times New Roman" w:cs="Times New Roman"/>
                <w:sz w:val="24"/>
                <w:szCs w:val="24"/>
                <w:lang w:eastAsia="bg-BG"/>
              </w:rPr>
              <w:t>дейностите</w:t>
            </w:r>
            <w:proofErr w:type="spellEnd"/>
            <w:r>
              <w:rPr>
                <w:rFonts w:ascii="Times New Roman" w:eastAsia="Times New Roman" w:hAnsi="Times New Roman" w:cs="Times New Roman"/>
                <w:sz w:val="24"/>
                <w:szCs w:val="24"/>
                <w:lang w:eastAsia="bg-BG"/>
              </w:rPr>
              <w:t>, осъществявани на място в земеделското стопанство, необходими за приготвянето на животински или растителен продукт за първата му продажба;</w:t>
            </w:r>
          </w:p>
          <w:p w14:paraId="54FD189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w:t>
            </w:r>
            <w:proofErr w:type="spellStart"/>
            <w:r>
              <w:rPr>
                <w:rFonts w:ascii="Times New Roman" w:eastAsia="Times New Roman" w:hAnsi="Times New Roman" w:cs="Times New Roman"/>
                <w:sz w:val="24"/>
                <w:szCs w:val="24"/>
                <w:lang w:eastAsia="bg-BG"/>
              </w:rPr>
              <w:t>дейност</w:t>
            </w:r>
            <w:proofErr w:type="spellEnd"/>
            <w:r>
              <w:rPr>
                <w:rFonts w:ascii="Times New Roman" w:eastAsia="Times New Roman" w:hAnsi="Times New Roman" w:cs="Times New Roman"/>
                <w:sz w:val="24"/>
                <w:szCs w:val="24"/>
                <w:lang w:eastAsia="bg-BG"/>
              </w:rPr>
              <w:t xml:space="preserve"> по подготвяне на продукта за такава първа </w:t>
            </w:r>
            <w:r>
              <w:rPr>
                <w:rFonts w:ascii="Times New Roman" w:eastAsia="Times New Roman" w:hAnsi="Times New Roman" w:cs="Times New Roman"/>
                <w:sz w:val="24"/>
                <w:szCs w:val="24"/>
                <w:lang w:eastAsia="bg-BG"/>
              </w:rPr>
              <w:lastRenderedPageBreak/>
              <w:t xml:space="preserve">продажба; продажбата от първичен производител на </w:t>
            </w:r>
            <w:proofErr w:type="spellStart"/>
            <w:r>
              <w:rPr>
                <w:rFonts w:ascii="Times New Roman" w:eastAsia="Times New Roman" w:hAnsi="Times New Roman" w:cs="Times New Roman"/>
                <w:sz w:val="24"/>
                <w:szCs w:val="24"/>
                <w:lang w:eastAsia="bg-BG"/>
              </w:rPr>
              <w:t>крайни</w:t>
            </w:r>
            <w:proofErr w:type="spellEnd"/>
            <w:r>
              <w:rPr>
                <w:rFonts w:ascii="Times New Roman" w:eastAsia="Times New Roman" w:hAnsi="Times New Roman" w:cs="Times New Roman"/>
                <w:sz w:val="24"/>
                <w:szCs w:val="24"/>
                <w:lang w:eastAsia="bg-BG"/>
              </w:rPr>
              <w:t xml:space="preserve"> потребители се счита за търговия, ако се осъществява в самостоятелни помещения, предвидени за тази цел.</w:t>
            </w:r>
          </w:p>
          <w:p w14:paraId="0CA51E51"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процедурата не се предоставя помощ на кандидат/партньор/и, когато отпускането й води до нарушаване на разпоредбите на Регламент (ЕС) № 1407/2014 г</w:t>
            </w:r>
          </w:p>
          <w:p w14:paraId="3588CB83" w14:textId="77777777" w:rsidR="009C0430" w:rsidRDefault="00B27CD4">
            <w:pPr>
              <w:spacing w:before="120" w:after="120"/>
              <w:jc w:val="both"/>
              <w:rPr>
                <w:b/>
                <w:sz w:val="24"/>
                <w:szCs w:val="24"/>
              </w:rPr>
            </w:pPr>
            <w:r>
              <w:rPr>
                <w:rFonts w:ascii="Times New Roman" w:eastAsia="Times New Roman" w:hAnsi="Times New Roman" w:cs="Times New Roman"/>
                <w:b/>
                <w:sz w:val="24"/>
                <w:szCs w:val="24"/>
                <w:lang w:eastAsia="bg-BG"/>
              </w:rPr>
              <w:t>ВАЖНО:</w:t>
            </w:r>
          </w:p>
          <w:p w14:paraId="5BF4425F" w14:textId="77777777" w:rsidR="009C0430" w:rsidRDefault="00B27CD4">
            <w:pPr>
              <w:spacing w:before="120" w:after="120"/>
              <w:jc w:val="both"/>
              <w:rPr>
                <w:sz w:val="24"/>
                <w:szCs w:val="24"/>
              </w:rPr>
            </w:pPr>
            <w:r>
              <w:rPr>
                <w:rFonts w:ascii="Times New Roman" w:eastAsia="Times New Roman" w:hAnsi="Times New Roman" w:cs="Times New Roman"/>
                <w:sz w:val="24"/>
                <w:szCs w:val="24"/>
                <w:lang w:eastAsia="bg-BG"/>
              </w:rPr>
              <w:t xml:space="preserve">Когато дадено предприятие упражнява дейност в секторите, посочени по-горе в букви а) или б) , както и в един или повече от секторите или дейностите, попадащи в допустимите сектори, съгласно Регламент (ЕС) № 1407/2013 г., то предприятието може да получи помощ само за допустимите по регламента сектори,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(букви а и б) не се ползват от помощ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предоставена съгласно Регламент (ЕС) № 1407/2013 г.</w:t>
            </w:r>
          </w:p>
          <w:p w14:paraId="44A311E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Размерът на отпуснатата минимална помощ по настоящата процедура ще бъде записан в договора за предоставяне на безвъзмездна финансова помощ.</w:t>
            </w:r>
          </w:p>
          <w:p w14:paraId="3EF37BA7"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Помощите, които се предоставят на няколко части (т.е. когато кандидатът предвижда </w:t>
            </w:r>
            <w:proofErr w:type="spellStart"/>
            <w:r>
              <w:rPr>
                <w:rFonts w:ascii="Times New Roman" w:eastAsia="Times New Roman" w:hAnsi="Times New Roman" w:cs="Times New Roman"/>
                <w:sz w:val="24"/>
                <w:szCs w:val="24"/>
                <w:lang w:eastAsia="bg-BG"/>
              </w:rPr>
              <w:t>даползва</w:t>
            </w:r>
            <w:proofErr w:type="spellEnd"/>
            <w:r>
              <w:rPr>
                <w:rFonts w:ascii="Times New Roman" w:eastAsia="Times New Roman" w:hAnsi="Times New Roman" w:cs="Times New Roman"/>
                <w:sz w:val="24"/>
                <w:szCs w:val="24"/>
                <w:lang w:eastAsia="bg-BG"/>
              </w:rPr>
              <w:t xml:space="preserve"> авансово и/или междинно/и плащане/</w:t>
            </w:r>
            <w:proofErr w:type="spellStart"/>
            <w:r>
              <w:rPr>
                <w:rFonts w:ascii="Times New Roman" w:eastAsia="Times New Roman" w:hAnsi="Times New Roman" w:cs="Times New Roman"/>
                <w:sz w:val="24"/>
                <w:szCs w:val="24"/>
                <w:lang w:eastAsia="bg-BG"/>
              </w:rPr>
              <w:t>ия</w:t>
            </w:r>
            <w:proofErr w:type="spellEnd"/>
            <w:r>
              <w:rPr>
                <w:rFonts w:ascii="Times New Roman" w:eastAsia="Times New Roman" w:hAnsi="Times New Roman" w:cs="Times New Roman"/>
                <w:sz w:val="24"/>
                <w:szCs w:val="24"/>
                <w:lang w:eastAsia="bg-BG"/>
              </w:rPr>
              <w:t xml:space="preserve">), се сконтират към техния размер </w:t>
            </w:r>
            <w:proofErr w:type="spellStart"/>
            <w:r>
              <w:rPr>
                <w:rFonts w:ascii="Times New Roman" w:eastAsia="Times New Roman" w:hAnsi="Times New Roman" w:cs="Times New Roman"/>
                <w:sz w:val="24"/>
                <w:szCs w:val="24"/>
                <w:lang w:eastAsia="bg-BG"/>
              </w:rPr>
              <w:t>къммомента</w:t>
            </w:r>
            <w:proofErr w:type="spellEnd"/>
            <w:r>
              <w:rPr>
                <w:rFonts w:ascii="Times New Roman" w:eastAsia="Times New Roman" w:hAnsi="Times New Roman" w:cs="Times New Roman"/>
                <w:sz w:val="24"/>
                <w:szCs w:val="24"/>
                <w:lang w:eastAsia="bg-BG"/>
              </w:rPr>
              <w:t xml:space="preserve"> на предоставяне. Допустимите разходи се сконтират до тяхната </w:t>
            </w:r>
            <w:proofErr w:type="spellStart"/>
            <w:r>
              <w:rPr>
                <w:rFonts w:ascii="Times New Roman" w:eastAsia="Times New Roman" w:hAnsi="Times New Roman" w:cs="Times New Roman"/>
                <w:sz w:val="24"/>
                <w:szCs w:val="24"/>
                <w:lang w:eastAsia="bg-BG"/>
              </w:rPr>
              <w:t>стойносткъммомента</w:t>
            </w:r>
            <w:proofErr w:type="spellEnd"/>
            <w:r>
              <w:rPr>
                <w:rFonts w:ascii="Times New Roman" w:eastAsia="Times New Roman" w:hAnsi="Times New Roman" w:cs="Times New Roman"/>
                <w:sz w:val="24"/>
                <w:szCs w:val="24"/>
                <w:lang w:eastAsia="bg-BG"/>
              </w:rPr>
              <w:t xml:space="preserve"> на предоставяне на помощта. Лихвеният процент, </w:t>
            </w:r>
            <w:proofErr w:type="spellStart"/>
            <w:r>
              <w:rPr>
                <w:rFonts w:ascii="Times New Roman" w:eastAsia="Times New Roman" w:hAnsi="Times New Roman" w:cs="Times New Roman"/>
                <w:sz w:val="24"/>
                <w:szCs w:val="24"/>
                <w:lang w:eastAsia="bg-BG"/>
              </w:rPr>
              <w:t>който</w:t>
            </w:r>
            <w:proofErr w:type="spellEnd"/>
            <w:r>
              <w:rPr>
                <w:rFonts w:ascii="Times New Roman" w:eastAsia="Times New Roman" w:hAnsi="Times New Roman" w:cs="Times New Roman"/>
                <w:sz w:val="24"/>
                <w:szCs w:val="24"/>
                <w:lang w:eastAsia="bg-BG"/>
              </w:rPr>
              <w:t xml:space="preserve"> се използва за </w:t>
            </w:r>
            <w:proofErr w:type="spellStart"/>
            <w:r>
              <w:rPr>
                <w:rFonts w:ascii="Times New Roman" w:eastAsia="Times New Roman" w:hAnsi="Times New Roman" w:cs="Times New Roman"/>
                <w:sz w:val="24"/>
                <w:szCs w:val="24"/>
                <w:lang w:eastAsia="bg-BG"/>
              </w:rPr>
              <w:t>сконтиране,е</w:t>
            </w:r>
            <w:proofErr w:type="spellEnd"/>
            <w:r>
              <w:rPr>
                <w:rFonts w:ascii="Times New Roman" w:eastAsia="Times New Roman" w:hAnsi="Times New Roman" w:cs="Times New Roman"/>
                <w:sz w:val="24"/>
                <w:szCs w:val="24"/>
                <w:lang w:eastAsia="bg-BG"/>
              </w:rPr>
              <w:t xml:space="preserve"> сконтовият процент, приложим към момента на предоставяне на помощта, в съответствие </w:t>
            </w:r>
            <w:proofErr w:type="spellStart"/>
            <w:r>
              <w:rPr>
                <w:rFonts w:ascii="Times New Roman" w:eastAsia="Times New Roman" w:hAnsi="Times New Roman" w:cs="Times New Roman"/>
                <w:sz w:val="24"/>
                <w:szCs w:val="24"/>
                <w:lang w:eastAsia="bg-BG"/>
              </w:rPr>
              <w:t>счл</w:t>
            </w:r>
            <w:proofErr w:type="spellEnd"/>
            <w:r>
              <w:rPr>
                <w:rFonts w:ascii="Times New Roman" w:eastAsia="Times New Roman" w:hAnsi="Times New Roman" w:cs="Times New Roman"/>
                <w:sz w:val="24"/>
                <w:szCs w:val="24"/>
                <w:lang w:eastAsia="bg-BG"/>
              </w:rPr>
              <w:t>. 3, ал. 6 от Регламент (ЕС) № 1407/2013 на Комисията от 18 декември 2013 г.</w:t>
            </w:r>
          </w:p>
          <w:p w14:paraId="1DDB853F"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Сконтирането ще се извършва от Управляващия орган преди всяко плащане с </w:t>
            </w:r>
            <w:proofErr w:type="spellStart"/>
            <w:r>
              <w:rPr>
                <w:rFonts w:ascii="Times New Roman" w:eastAsia="Times New Roman" w:hAnsi="Times New Roman" w:cs="Times New Roman"/>
                <w:sz w:val="24"/>
                <w:szCs w:val="24"/>
                <w:lang w:eastAsia="bg-BG"/>
              </w:rPr>
              <w:t>огледгарантиране</w:t>
            </w:r>
            <w:proofErr w:type="spellEnd"/>
            <w:r>
              <w:rPr>
                <w:rFonts w:ascii="Times New Roman" w:eastAsia="Times New Roman" w:hAnsi="Times New Roman" w:cs="Times New Roman"/>
                <w:sz w:val="24"/>
                <w:szCs w:val="24"/>
                <w:lang w:eastAsia="bg-BG"/>
              </w:rPr>
              <w:t xml:space="preserve">, че предоставената безвъзмездна финансова помощ е съобразена с праговете </w:t>
            </w:r>
            <w:proofErr w:type="spellStart"/>
            <w:r>
              <w:rPr>
                <w:rFonts w:ascii="Times New Roman" w:eastAsia="Times New Roman" w:hAnsi="Times New Roman" w:cs="Times New Roman"/>
                <w:sz w:val="24"/>
                <w:szCs w:val="24"/>
                <w:lang w:eastAsia="bg-BG"/>
              </w:rPr>
              <w:t>иинтензитетите</w:t>
            </w:r>
            <w:proofErr w:type="spellEnd"/>
            <w:r>
              <w:rPr>
                <w:rFonts w:ascii="Times New Roman" w:eastAsia="Times New Roman" w:hAnsi="Times New Roman" w:cs="Times New Roman"/>
                <w:sz w:val="24"/>
                <w:szCs w:val="24"/>
                <w:lang w:eastAsia="bg-BG"/>
              </w:rPr>
              <w:t xml:space="preserve"> за съответния вид помощ, установени в Регламент (ЕС) № 1407/2013 на</w:t>
            </w:r>
          </w:p>
          <w:p w14:paraId="0993719F"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Комисията.</w:t>
            </w:r>
          </w:p>
          <w:p w14:paraId="787A88EC"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определяне на допустимостта съгласно посочения критерий за натрупване на етап преди сключване на договор с кандидатите, се прави проверка на информацията, вписана в информационна система „Регистър на минималните помощи -  </w:t>
            </w:r>
            <w:proofErr w:type="spellStart"/>
            <w:r>
              <w:rPr>
                <w:rFonts w:ascii="Times New Roman" w:eastAsia="Times New Roman" w:hAnsi="Times New Roman" w:cs="Times New Roman"/>
                <w:sz w:val="24"/>
                <w:szCs w:val="24"/>
                <w:lang w:eastAsia="bg-BG"/>
              </w:rPr>
              <w:t>htttp</w:t>
            </w:r>
            <w:proofErr w:type="spellEnd"/>
            <w:r>
              <w:rPr>
                <w:rFonts w:ascii="Times New Roman" w:eastAsia="Times New Roman" w:hAnsi="Times New Roman" w:cs="Times New Roman"/>
                <w:sz w:val="24"/>
                <w:szCs w:val="24"/>
                <w:lang w:eastAsia="bg-BG"/>
              </w:rPr>
              <w:t>://minimis.minfin.bg”, по отношение на кандидата и партньора/</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които разходват средства по проекта. Допълнително, преди всяко плащане се извършва съпоставка на данните в информационна система „Регистър на минималните помощи” - htttp://minimis.minfin.bg и декларациите за минимални помощи, предоставени от кандидатите/партньорите по отношение на минимални помощи.</w:t>
            </w:r>
          </w:p>
          <w:p w14:paraId="0FE3AD5D" w14:textId="77777777" w:rsidR="009C0430" w:rsidRDefault="00B27CD4">
            <w:pPr>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 За да удостоверят, че осъществяват икономическата си дейност в допустимите сектори, кандидатите декларират кодовете на основната и допълнителната си икономическа дейност в Декларацията за минимални и държавни помощи и във т. 2 от Формуляра за кандидатстване.</w:t>
            </w:r>
          </w:p>
          <w:p w14:paraId="2C7E845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Кумулиране на помощта:</w:t>
            </w:r>
          </w:p>
          <w:p w14:paraId="0CA85A0C"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предоставена съгласно Регламент (ЕС) № 1407/2013,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w:t>
            </w:r>
            <w:r>
              <w:rPr>
                <w:rFonts w:ascii="Times New Roman" w:eastAsia="Times New Roman" w:hAnsi="Times New Roman" w:cs="Times New Roman"/>
                <w:sz w:val="24"/>
                <w:szCs w:val="24"/>
                <w:lang w:eastAsia="bg-BG"/>
              </w:rPr>
              <w:lastRenderedPageBreak/>
              <w:t xml:space="preserve">за функционирането на Европейския съюз към 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в сектора на рибарството и аквакултурите (ОВ L 190 от 28.06.2014 г.) до съответния размер, определен в </w:t>
            </w:r>
            <w:proofErr w:type="spellStart"/>
            <w:r>
              <w:rPr>
                <w:rFonts w:ascii="Times New Roman" w:eastAsia="Times New Roman" w:hAnsi="Times New Roman" w:cs="Times New Roman"/>
                <w:sz w:val="24"/>
                <w:szCs w:val="24"/>
                <w:lang w:eastAsia="bg-BG"/>
              </w:rPr>
              <w:t>чр</w:t>
            </w:r>
            <w:proofErr w:type="spellEnd"/>
            <w:r>
              <w:rPr>
                <w:rFonts w:ascii="Times New Roman" w:eastAsia="Times New Roman" w:hAnsi="Times New Roman" w:cs="Times New Roman"/>
                <w:sz w:val="24"/>
                <w:szCs w:val="24"/>
                <w:lang w:eastAsia="bg-BG"/>
              </w:rPr>
              <w:t>. 3, ал. 2 на Регламента, като натрупването на минималните помощи е по вид дейности до съответния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w:t>
            </w:r>
          </w:p>
          <w:p w14:paraId="319340AC" w14:textId="77777777" w:rsidR="009C0430" w:rsidRDefault="00B27CD4">
            <w:pPr>
              <w:pStyle w:val="Default"/>
              <w:jc w:val="both"/>
              <w:rPr>
                <w:color w:val="auto"/>
              </w:rPr>
            </w:pPr>
            <w:r>
              <w:t xml:space="preserve">Помощта </w:t>
            </w:r>
            <w:proofErr w:type="spellStart"/>
            <w:r>
              <w:t>deminimis</w:t>
            </w:r>
            <w:proofErr w:type="spellEnd"/>
            <w:r>
              <w:t xml:space="preserve"> не се </w:t>
            </w:r>
            <w:proofErr w:type="spellStart"/>
            <w:r>
              <w:t>кумулира</w:t>
            </w:r>
            <w:proofErr w:type="spellEnd"/>
            <w: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w:t>
            </w:r>
            <w:r>
              <w:rPr>
                <w:color w:val="auto"/>
              </w:rPr>
              <w:t xml:space="preserve">Помощ </w:t>
            </w:r>
            <w:proofErr w:type="spellStart"/>
            <w:r>
              <w:rPr>
                <w:color w:val="auto"/>
              </w:rPr>
              <w:t>deminimis</w:t>
            </w:r>
            <w:proofErr w:type="spellEnd"/>
            <w:r>
              <w:rPr>
                <w:color w:val="auto"/>
              </w:rPr>
              <w:t xml:space="preserve">, която не е предоставена за конкретни допустими разходи или не може да бъде свързана с такива, може да се </w:t>
            </w:r>
            <w:proofErr w:type="spellStart"/>
            <w:r>
              <w:rPr>
                <w:color w:val="auto"/>
              </w:rPr>
              <w:t>кумулира</w:t>
            </w:r>
            <w:proofErr w:type="spellEnd"/>
            <w:r>
              <w:rPr>
                <w:color w:val="auto"/>
              </w:rPr>
              <w:t xml:space="preserve"> с друга държавна помощ, предоставена </w:t>
            </w:r>
            <w:proofErr w:type="spellStart"/>
            <w:r>
              <w:rPr>
                <w:color w:val="auto"/>
              </w:rPr>
              <w:t>съгласнорегламент</w:t>
            </w:r>
            <w:proofErr w:type="spellEnd"/>
            <w:r>
              <w:rPr>
                <w:color w:val="auto"/>
              </w:rPr>
              <w:t xml:space="preserve"> за групово освобождаване или с решение, приети от </w:t>
            </w:r>
            <w:proofErr w:type="spellStart"/>
            <w:r>
              <w:rPr>
                <w:color w:val="auto"/>
              </w:rPr>
              <w:t>Комисията.Когато</w:t>
            </w:r>
            <w:proofErr w:type="spellEnd"/>
            <w:r>
              <w:rPr>
                <w:color w:val="auto"/>
              </w:rPr>
              <w:t xml:space="preserve"> с отпускането на нова помощ </w:t>
            </w:r>
            <w:proofErr w:type="spellStart"/>
            <w:r>
              <w:rPr>
                <w:color w:val="auto"/>
              </w:rPr>
              <w:t>deminimis</w:t>
            </w:r>
            <w:proofErr w:type="spellEnd"/>
            <w:r>
              <w:rPr>
                <w:color w:val="auto"/>
              </w:rPr>
              <w:t xml:space="preserve"> може да бъде надвишен съответния таван, определен в параграф 2 на Регламент 1407/2013, никоя част от тази нова помощ не може да попада в приложното поле на същия регламент.</w:t>
            </w:r>
          </w:p>
          <w:p w14:paraId="7924D6CE" w14:textId="77777777" w:rsidR="009C0430" w:rsidRDefault="00B27CD4">
            <w:pPr>
              <w:pStyle w:val="Default"/>
              <w:jc w:val="both"/>
              <w:rPr>
                <w:color w:val="auto"/>
              </w:rPr>
            </w:pPr>
            <w:r>
              <w:rPr>
                <w:color w:val="auto"/>
              </w:rPr>
              <w:t xml:space="preserve">Държавите членки предоставят нова помощ </w:t>
            </w:r>
            <w:proofErr w:type="spellStart"/>
            <w:r>
              <w:rPr>
                <w:color w:val="auto"/>
              </w:rPr>
              <w:t>deminimis</w:t>
            </w:r>
            <w:proofErr w:type="spellEnd"/>
            <w:r>
              <w:rPr>
                <w:color w:val="auto"/>
              </w:rPr>
              <w:t xml:space="preserve"> в съответствие с настоящия регламент само след като са проверили, че с нея общият размер на помощта </w:t>
            </w:r>
            <w:proofErr w:type="spellStart"/>
            <w:r>
              <w:rPr>
                <w:color w:val="auto"/>
              </w:rPr>
              <w:t>deminimis</w:t>
            </w:r>
            <w:proofErr w:type="spellEnd"/>
            <w:r>
              <w:rPr>
                <w:color w:val="auto"/>
              </w:rPr>
              <w:t>, отпусната на съответното предприятие, няма да достигне равнище, надхвърлящо съответния таван, определен в член 3, параграф 2, и че са спазени всички условия, установени в настоящия регламент.</w:t>
            </w:r>
          </w:p>
          <w:p w14:paraId="15519240" w14:textId="77777777" w:rsidR="009C0430" w:rsidRDefault="009C0430">
            <w:pPr>
              <w:spacing w:after="240"/>
              <w:jc w:val="both"/>
              <w:rPr>
                <w:rFonts w:ascii="Times New Roman" w:eastAsia="Times New Roman" w:hAnsi="Times New Roman" w:cs="Times New Roman"/>
                <w:sz w:val="24"/>
                <w:szCs w:val="24"/>
                <w:lang w:eastAsia="bg-BG"/>
              </w:rPr>
            </w:pPr>
          </w:p>
          <w:p w14:paraId="75646D00"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Данните за получените предходни минимални помощи следва да бъдат надлежно посочени от кандидатите/партньорите в Декларация за получените минимални и държавни помощи (Приложение ІІІ към Условията за кандидатстване).</w:t>
            </w:r>
            <w:r>
              <w:rPr>
                <w:rFonts w:ascii="Times New Roman" w:eastAsia="Times New Roman" w:hAnsi="Times New Roman" w:cs="Times New Roman"/>
                <w:sz w:val="24"/>
                <w:szCs w:val="24"/>
                <w:lang w:eastAsia="bg-BG"/>
              </w:rPr>
              <w:t xml:space="preserve"> Декларацията за минимални помощи се представя от кандидатите/партньорите на етап кандидатстване и впоследствие, в случай на одобрение на проектното предложение – преди сключване на договора за безвъзмездна финансова помощ. </w:t>
            </w:r>
          </w:p>
          <w:p w14:paraId="28B68B58"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Към момента на оценка проверка за допустимост по отношение на максимално допустимия праг за получена минимална помощ, определен в чл. 3, т. 2на Регламент (ЕС) № 1407/2013 ще се извършва на база посочените данни в Декларация за получените минимални и държавни помощи.</w:t>
            </w:r>
          </w:p>
          <w:p w14:paraId="7E0C69A2"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съответствие с изискването за </w:t>
            </w:r>
            <w:proofErr w:type="spellStart"/>
            <w:r>
              <w:rPr>
                <w:rFonts w:ascii="Times New Roman" w:eastAsia="Times New Roman" w:hAnsi="Times New Roman" w:cs="Times New Roman"/>
                <w:sz w:val="24"/>
                <w:szCs w:val="24"/>
                <w:lang w:eastAsia="bg-BG"/>
              </w:rPr>
              <w:t>ненадвишаване</w:t>
            </w:r>
            <w:proofErr w:type="spellEnd"/>
            <w:r>
              <w:rPr>
                <w:rFonts w:ascii="Times New Roman" w:eastAsia="Times New Roman" w:hAnsi="Times New Roman" w:cs="Times New Roman"/>
                <w:sz w:val="24"/>
                <w:szCs w:val="24"/>
                <w:lang w:eastAsia="bg-BG"/>
              </w:rPr>
              <w:t xml:space="preserve"> на прага, определен в член 3, параграф 2, оценителната комисия ще извършва служебна корекция в размера на БФП на всички предложени за финансиране проектни предложения на етап техническа и финансова оценка, така че да не възникне нарушаване на праговете по регламента.</w:t>
            </w:r>
          </w:p>
          <w:p w14:paraId="3D3D74AC" w14:textId="77777777" w:rsidR="009C0430" w:rsidRDefault="00B27CD4">
            <w:pPr>
              <w:tabs>
                <w:tab w:val="left" w:pos="4820"/>
              </w:tabs>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Последващ контрол:</w:t>
            </w:r>
          </w:p>
          <w:p w14:paraId="79B1B808" w14:textId="77777777" w:rsidR="009C0430" w:rsidRDefault="00B27CD4">
            <w:pPr>
              <w:tabs>
                <w:tab w:val="left" w:pos="4820"/>
              </w:tabs>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lastRenderedPageBreak/>
              <w:t xml:space="preserve">ВАЖНО: Преди сключване на договор, Управляващият орган на ОПРЧР ще извършва проверка по същество на декларираната от одобрените кандидати/партньори  помощ в режим </w:t>
            </w:r>
            <w:proofErr w:type="spellStart"/>
            <w:r>
              <w:rPr>
                <w:rFonts w:ascii="Times New Roman" w:eastAsia="Times New Roman" w:hAnsi="Times New Roman" w:cs="Times New Roman"/>
                <w:b/>
                <w:sz w:val="24"/>
                <w:szCs w:val="24"/>
                <w:lang w:eastAsia="bg-BG"/>
              </w:rPr>
              <w:t>deminimis</w:t>
            </w:r>
            <w:proofErr w:type="spellEnd"/>
            <w:r>
              <w:rPr>
                <w:rFonts w:ascii="Times New Roman" w:eastAsia="Times New Roman" w:hAnsi="Times New Roman" w:cs="Times New Roman"/>
                <w:b/>
                <w:sz w:val="24"/>
                <w:szCs w:val="24"/>
                <w:lang w:eastAsia="bg-BG"/>
              </w:rPr>
              <w:t xml:space="preserve">, както и на декларираните кодове на икономическа дейност. В случай, че бъде установена погрешно декларирана сума, която надвишава съответния таван, определен в чл. 3 на Регламент (ЕС) № 1407/2013 или се установи, че кандидати и партньори попадат в забранителния режим, ще бъде издадено Решение за отказ за предоставяне на безвъзмездна финансова помощ за съответния кандидат.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поддържан от министъра на </w:t>
            </w:r>
            <w:proofErr w:type="spellStart"/>
            <w:r>
              <w:rPr>
                <w:rFonts w:ascii="Times New Roman" w:eastAsia="Times New Roman" w:hAnsi="Times New Roman" w:cs="Times New Roman"/>
                <w:b/>
                <w:sz w:val="24"/>
                <w:szCs w:val="24"/>
                <w:lang w:eastAsia="bg-BG"/>
              </w:rPr>
              <w:t>финансите.По</w:t>
            </w:r>
            <w:proofErr w:type="spellEnd"/>
            <w:r>
              <w:rPr>
                <w:rFonts w:ascii="Times New Roman" w:eastAsia="Times New Roman" w:hAnsi="Times New Roman" w:cs="Times New Roman"/>
                <w:b/>
                <w:sz w:val="24"/>
                <w:szCs w:val="24"/>
                <w:lang w:eastAsia="bg-BG"/>
              </w:rPr>
              <w:t xml:space="preserve"> отношение кодовете на икономическа дейност на предприятието се извършва служебна проверка чрез НСИ.</w:t>
            </w:r>
          </w:p>
          <w:p w14:paraId="31EE0B09"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Таваните, посочени в чл. 3,  параграф 2 на Регламент (ЕС) № 1407/2013, се прилагат независимо от формата на 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за текущата година и предходните две.</w:t>
            </w:r>
          </w:p>
          <w:p w14:paraId="142A2320" w14:textId="77777777" w:rsidR="009C0430" w:rsidRDefault="00B27CD4">
            <w:pPr>
              <w:tabs>
                <w:tab w:val="left" w:pos="4820"/>
              </w:tabs>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За целите на таваните, посочени в чл.3, параграф 2 на Регламент (ЕС) № 1407/2013, помощта се изразява като парични безвъзмездни средства. Всички използвани стойности са в брутно изражение, т.е. преди облагане с данъци или други такси.</w:t>
            </w:r>
          </w:p>
          <w:p w14:paraId="2F9247B6"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Управляващият орган не носи отговорност за погрешно декларирана сума на получена минимална помощ, довела до отказ от сключване на договор.</w:t>
            </w:r>
          </w:p>
          <w:p w14:paraId="19D5D6B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Помощта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се смята за отпусната от момента на подписване на договора за предоставяне на безвъзмездна финансова помощ между Управляващия орган, МИГ и бенефициента, независимо от датата на нейното изплащане на предприятието.</w:t>
            </w:r>
          </w:p>
          <w:p w14:paraId="3B9B6D98"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Следва да се има предвид, че не се разрешава предоставянето на нова минимална помощ на предприятие, което не е изпълнило решение на Европейската комисия и не е възстановило неправомерно получена държавна помощ (чл. 9, ал. 3 от Правилника за прилагане на Закона за държавните помощи).</w:t>
            </w:r>
          </w:p>
          <w:p w14:paraId="54C839C2"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неспазване на изискванията на Регламент (ЕС) № 1407/2013, предприятието  възстановява, пълния размер на предоставените средства по Компонент II, със </w:t>
            </w:r>
            <w:proofErr w:type="spellStart"/>
            <w:r>
              <w:rPr>
                <w:rFonts w:ascii="Times New Roman" w:eastAsia="Times New Roman" w:hAnsi="Times New Roman" w:cs="Times New Roman"/>
                <w:sz w:val="24"/>
                <w:szCs w:val="24"/>
                <w:lang w:eastAsia="bg-BG"/>
              </w:rPr>
              <w:t>законнаталихва</w:t>
            </w:r>
            <w:proofErr w:type="spellEnd"/>
            <w:r>
              <w:rPr>
                <w:rFonts w:ascii="Times New Roman" w:eastAsia="Times New Roman" w:hAnsi="Times New Roman" w:cs="Times New Roman"/>
                <w:sz w:val="24"/>
                <w:szCs w:val="24"/>
                <w:lang w:eastAsia="bg-BG"/>
              </w:rPr>
              <w:t xml:space="preserve"> от момента на получаването до окончателното им изплащане. Възстановяването </w:t>
            </w:r>
            <w:proofErr w:type="spellStart"/>
            <w:r>
              <w:rPr>
                <w:rFonts w:ascii="Times New Roman" w:eastAsia="Times New Roman" w:hAnsi="Times New Roman" w:cs="Times New Roman"/>
                <w:sz w:val="24"/>
                <w:szCs w:val="24"/>
                <w:lang w:eastAsia="bg-BG"/>
              </w:rPr>
              <w:t>нанеправомерно</w:t>
            </w:r>
            <w:proofErr w:type="spellEnd"/>
            <w:r>
              <w:rPr>
                <w:rFonts w:ascii="Times New Roman" w:eastAsia="Times New Roman" w:hAnsi="Times New Roman" w:cs="Times New Roman"/>
                <w:sz w:val="24"/>
                <w:szCs w:val="24"/>
                <w:lang w:eastAsia="bg-BG"/>
              </w:rPr>
              <w:t xml:space="preserve"> предоставена минимална помощ, което се извършва по реда на чл. 3.75 до чл. 3.80 </w:t>
            </w:r>
            <w:proofErr w:type="spellStart"/>
            <w:r>
              <w:rPr>
                <w:rFonts w:ascii="Times New Roman" w:eastAsia="Times New Roman" w:hAnsi="Times New Roman" w:cs="Times New Roman"/>
                <w:sz w:val="24"/>
                <w:szCs w:val="24"/>
                <w:lang w:eastAsia="bg-BG"/>
              </w:rPr>
              <w:t>отАдминистративния</w:t>
            </w:r>
            <w:proofErr w:type="spellEnd"/>
            <w:r>
              <w:rPr>
                <w:rFonts w:ascii="Times New Roman" w:eastAsia="Times New Roman" w:hAnsi="Times New Roman" w:cs="Times New Roman"/>
                <w:sz w:val="24"/>
                <w:szCs w:val="24"/>
                <w:lang w:eastAsia="bg-BG"/>
              </w:rPr>
              <w:t xml:space="preserve"> договор.</w:t>
            </w:r>
          </w:p>
          <w:p w14:paraId="205CA3A4"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чл. 37 от ЗДП </w:t>
            </w:r>
            <w:proofErr w:type="spellStart"/>
            <w:r>
              <w:rPr>
                <w:rFonts w:ascii="Times New Roman" w:eastAsia="Times New Roman" w:hAnsi="Times New Roman" w:cs="Times New Roman"/>
                <w:sz w:val="24"/>
                <w:szCs w:val="24"/>
                <w:lang w:eastAsia="bg-BG"/>
              </w:rPr>
              <w:t>отНаредба</w:t>
            </w:r>
            <w:proofErr w:type="spellEnd"/>
            <w:r>
              <w:rPr>
                <w:rFonts w:ascii="Times New Roman" w:eastAsia="Times New Roman" w:hAnsi="Times New Roman" w:cs="Times New Roman"/>
                <w:sz w:val="24"/>
                <w:szCs w:val="24"/>
                <w:lang w:eastAsia="bg-BG"/>
              </w:rPr>
              <w:t xml:space="preserve"> № Н-3 /22.05.2018 г. на министъра на финансите за определяне на правилата заплащания, за верификация и сертификация на разходите, за възстановяване и отписване </w:t>
            </w:r>
            <w:proofErr w:type="spellStart"/>
            <w:r>
              <w:rPr>
                <w:rFonts w:ascii="Times New Roman" w:eastAsia="Times New Roman" w:hAnsi="Times New Roman" w:cs="Times New Roman"/>
                <w:sz w:val="24"/>
                <w:szCs w:val="24"/>
                <w:lang w:eastAsia="bg-BG"/>
              </w:rPr>
              <w:t>нанеправомерни</w:t>
            </w:r>
            <w:proofErr w:type="spellEnd"/>
            <w:r>
              <w:rPr>
                <w:rFonts w:ascii="Times New Roman" w:eastAsia="Times New Roman" w:hAnsi="Times New Roman" w:cs="Times New Roman"/>
                <w:sz w:val="24"/>
                <w:szCs w:val="24"/>
                <w:lang w:eastAsia="bg-BG"/>
              </w:rPr>
              <w:t xml:space="preserve"> разходи и за осчетоводяване, както и сроковете и правилата за </w:t>
            </w:r>
            <w:proofErr w:type="spellStart"/>
            <w:r>
              <w:rPr>
                <w:rFonts w:ascii="Times New Roman" w:eastAsia="Times New Roman" w:hAnsi="Times New Roman" w:cs="Times New Roman"/>
                <w:sz w:val="24"/>
                <w:szCs w:val="24"/>
                <w:lang w:eastAsia="bg-BG"/>
              </w:rPr>
              <w:t>приключванена</w:t>
            </w:r>
            <w:proofErr w:type="spellEnd"/>
            <w:r>
              <w:rPr>
                <w:rFonts w:ascii="Times New Roman" w:eastAsia="Times New Roman" w:hAnsi="Times New Roman" w:cs="Times New Roman"/>
                <w:sz w:val="24"/>
                <w:szCs w:val="24"/>
                <w:lang w:eastAsia="bg-BG"/>
              </w:rPr>
              <w:t xml:space="preserve"> счетоводната година по оперативните програми и програмите за </w:t>
            </w:r>
            <w:proofErr w:type="spellStart"/>
            <w:r>
              <w:rPr>
                <w:rFonts w:ascii="Times New Roman" w:eastAsia="Times New Roman" w:hAnsi="Times New Roman" w:cs="Times New Roman"/>
                <w:sz w:val="24"/>
                <w:szCs w:val="24"/>
                <w:lang w:eastAsia="bg-BG"/>
              </w:rPr>
              <w:t>европейскотериториалносътрудничество</w:t>
            </w:r>
            <w:proofErr w:type="spellEnd"/>
            <w:r>
              <w:rPr>
                <w:rFonts w:ascii="Times New Roman" w:eastAsia="Times New Roman" w:hAnsi="Times New Roman" w:cs="Times New Roman"/>
                <w:sz w:val="24"/>
                <w:szCs w:val="24"/>
                <w:lang w:eastAsia="bg-BG"/>
              </w:rPr>
              <w:t>.</w:t>
            </w:r>
          </w:p>
          <w:p w14:paraId="1CFE8E17"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Възстановяването на неправомерно предоставена помощ се извършва и подлежи на принудително изпълнение по реда на Данъчно-осигурителния процесуален кодекс (ДОПК). Администраторът на помощ издава акт за установяване на публично вземане по </w:t>
            </w:r>
            <w:r>
              <w:rPr>
                <w:rFonts w:ascii="Times New Roman" w:eastAsia="Times New Roman" w:hAnsi="Times New Roman" w:cs="Times New Roman"/>
                <w:sz w:val="24"/>
                <w:szCs w:val="24"/>
                <w:lang w:eastAsia="bg-BG"/>
              </w:rPr>
              <w:lastRenderedPageBreak/>
              <w:t>реда на чл. 166, ал. 2 и 3 от ДОПК.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p>
          <w:p w14:paraId="6C9DD514"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Когато с отпускането на новата помощ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може да бъде надвишен съответния таван, определен в чл. 3 на Регламент (ЕС) № 1407/2013, /като периодът обхваща двете предходни и текущата бюджетна година/, никоя част от тази нова помощ не може да попада в приложното поле на Регламент (ЕС) № 1407/2013.</w:t>
            </w:r>
          </w:p>
          <w:p w14:paraId="7E046077"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 /това обстоятелство е </w:t>
            </w:r>
            <w:proofErr w:type="spellStart"/>
            <w:r>
              <w:rPr>
                <w:rFonts w:ascii="Times New Roman" w:eastAsia="Times New Roman" w:hAnsi="Times New Roman" w:cs="Times New Roman"/>
                <w:sz w:val="24"/>
                <w:szCs w:val="24"/>
                <w:lang w:eastAsia="bg-BG"/>
              </w:rPr>
              <w:t>съотносимо</w:t>
            </w:r>
            <w:proofErr w:type="spellEnd"/>
            <w:r>
              <w:rPr>
                <w:rFonts w:ascii="Times New Roman" w:eastAsia="Times New Roman" w:hAnsi="Times New Roman" w:cs="Times New Roman"/>
                <w:sz w:val="24"/>
                <w:szCs w:val="24"/>
                <w:lang w:eastAsia="bg-BG"/>
              </w:rPr>
              <w:t xml:space="preserve"> и за партньорите.</w:t>
            </w:r>
          </w:p>
          <w:p w14:paraId="08F5AD58"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Когато безвъзмездната финансова помощ попада в обхвата на Регламент (ЕС) № 1407/2013 на Комисията, Бенефициентът, МИГ и УО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се съхранява съгласно чл. 6, ал. 4 и 5 на Регламент № 1407/2013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5407C30A" w14:textId="77777777" w:rsidR="009C0430" w:rsidRDefault="009C0430">
            <w:pPr>
              <w:tabs>
                <w:tab w:val="left" w:pos="1200"/>
                <w:tab w:val="left" w:pos="2161"/>
              </w:tabs>
              <w:spacing w:before="120" w:after="120"/>
              <w:jc w:val="both"/>
              <w:rPr>
                <w:rFonts w:ascii="Times New Roman" w:eastAsia="Times New Roman" w:hAnsi="Times New Roman" w:cs="Times New Roman"/>
                <w:sz w:val="24"/>
                <w:szCs w:val="24"/>
                <w:lang w:eastAsia="en-GB"/>
              </w:rPr>
            </w:pPr>
          </w:p>
          <w:p w14:paraId="48D227B4"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Администратор на минимални помощи по настоящата процедура е Министерство на труда и социалната политика, в качеството си на Управляващ орган на Оперативна програма „Развитие на човешките ресурси “</w:t>
            </w:r>
          </w:p>
          <w:p w14:paraId="414A12C3" w14:textId="77777777" w:rsidR="009C0430" w:rsidRDefault="00B27CD4">
            <w:pPr>
              <w:spacing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Задължение на Администратора на помощта, произтичащо от чл. 34, ал. 1 от ЗДП и чл. 9, ал. 4 от Правилника за неговото прилагане, е да информира министъра на финансите в срок от 3 дни от предоставянето на всяка помощ </w:t>
            </w:r>
            <w:proofErr w:type="spellStart"/>
            <w:r>
              <w:rPr>
                <w:rFonts w:ascii="Times New Roman" w:eastAsia="Times New Roman" w:hAnsi="Times New Roman" w:cs="Times New Roman"/>
                <w:sz w:val="24"/>
                <w:szCs w:val="24"/>
                <w:lang w:eastAsia="bg-BG"/>
              </w:rPr>
              <w:t>deminimis</w:t>
            </w:r>
            <w:proofErr w:type="spellEnd"/>
            <w:r>
              <w:rPr>
                <w:rFonts w:ascii="Times New Roman" w:eastAsia="Times New Roman" w:hAnsi="Times New Roman" w:cs="Times New Roman"/>
                <w:sz w:val="24"/>
                <w:szCs w:val="24"/>
                <w:lang w:eastAsia="bg-BG"/>
              </w:rPr>
              <w:t xml:space="preserve"> чрез Информационната система „Регистър за минималните помощи“ (htpp://minimis.minfin.bg)</w:t>
            </w:r>
          </w:p>
          <w:p w14:paraId="51BE8BAB" w14:textId="77777777" w:rsidR="009C0430" w:rsidRDefault="00B27CD4">
            <w:pPr>
              <w:tabs>
                <w:tab w:val="left" w:pos="1200"/>
                <w:tab w:val="left" w:pos="2161"/>
              </w:tabs>
              <w:spacing w:before="120" w:after="120"/>
              <w:jc w:val="both"/>
              <w:rPr>
                <w:sz w:val="24"/>
                <w:szCs w:val="24"/>
                <w:lang w:eastAsia="en-GB"/>
              </w:rPr>
            </w:pPr>
            <w:r>
              <w:rPr>
                <w:rFonts w:ascii="Times New Roman" w:eastAsia="Times New Roman" w:hAnsi="Times New Roman" w:cs="Times New Roman"/>
                <w:sz w:val="24"/>
                <w:szCs w:val="24"/>
                <w:lang w:eastAsia="bg-BG"/>
              </w:rPr>
              <w:t>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 1407/2013.</w:t>
            </w:r>
          </w:p>
          <w:p w14:paraId="16010E3E" w14:textId="77777777" w:rsidR="009C0430" w:rsidRDefault="00B27CD4">
            <w:pPr>
              <w:tabs>
                <w:tab w:val="left" w:pos="1200"/>
                <w:tab w:val="left" w:pos="2161"/>
              </w:tabs>
              <w:spacing w:after="360"/>
              <w:jc w:val="both"/>
              <w:rPr>
                <w:sz w:val="24"/>
                <w:szCs w:val="24"/>
                <w:lang w:eastAsia="en-GB"/>
              </w:rPr>
            </w:pPr>
            <w:r>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на </w:t>
            </w:r>
            <w:proofErr w:type="spellStart"/>
            <w:r>
              <w:rPr>
                <w:rFonts w:ascii="Times New Roman" w:eastAsia="Times New Roman" w:hAnsi="Times New Roman" w:cs="Times New Roman"/>
                <w:sz w:val="24"/>
                <w:szCs w:val="24"/>
                <w:lang w:eastAsia="en-GB"/>
              </w:rPr>
              <w:t>ОПРЧРна</w:t>
            </w:r>
            <w:proofErr w:type="spellEnd"/>
            <w:r>
              <w:rPr>
                <w:rFonts w:ascii="Times New Roman" w:eastAsia="Times New Roman" w:hAnsi="Times New Roman" w:cs="Times New Roman"/>
                <w:sz w:val="24"/>
                <w:szCs w:val="24"/>
                <w:lang w:eastAsia="en-GB"/>
              </w:rPr>
              <w:t xml:space="preserve">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w:t>
            </w:r>
            <w:r>
              <w:rPr>
                <w:rFonts w:ascii="Times New Roman" w:eastAsia="Times New Roman" w:hAnsi="Times New Roman" w:cs="Times New Roman"/>
                <w:sz w:val="24"/>
                <w:szCs w:val="24"/>
                <w:lang w:eastAsia="bg-BG"/>
              </w:rPr>
              <w:t>1407/2013</w:t>
            </w:r>
            <w:r>
              <w:rPr>
                <w:rFonts w:ascii="Times New Roman" w:eastAsia="Times New Roman" w:hAnsi="Times New Roman" w:cs="Times New Roman"/>
                <w:sz w:val="24"/>
                <w:szCs w:val="24"/>
                <w:lang w:eastAsia="en-GB"/>
              </w:rPr>
              <w:t xml:space="preserve">.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w:t>
            </w:r>
            <w:r>
              <w:rPr>
                <w:rFonts w:ascii="Times New Roman" w:eastAsia="Times New Roman" w:hAnsi="Times New Roman" w:cs="Times New Roman"/>
                <w:sz w:val="24"/>
                <w:szCs w:val="24"/>
                <w:lang w:eastAsia="en-GB"/>
              </w:rPr>
              <w:lastRenderedPageBreak/>
              <w:t>друг срок.</w:t>
            </w:r>
          </w:p>
          <w:p w14:paraId="418C2250" w14:textId="77777777" w:rsidR="009C0430" w:rsidRDefault="00B27CD4">
            <w:pPr>
              <w:shd w:val="clear" w:color="auto" w:fill="E1ECF7"/>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Съгласно чл.38, т.5 от ЗУСЕСИФ ръководителят на Управляващия орган издава мотивирано решение за отказ за предоставяне на безвъзмездна финансова помощ, ако преди сключване на договор се установи, че държавната помощ е недопустима или </w:t>
            </w:r>
            <w:proofErr w:type="spellStart"/>
            <w:r>
              <w:rPr>
                <w:rFonts w:ascii="Times New Roman" w:eastAsia="Times New Roman" w:hAnsi="Times New Roman" w:cs="Times New Roman"/>
                <w:sz w:val="24"/>
                <w:szCs w:val="24"/>
                <w:lang w:eastAsia="bg-BG"/>
              </w:rPr>
              <w:t>сенадхвърля</w:t>
            </w:r>
            <w:proofErr w:type="spellEnd"/>
            <w:r>
              <w:rPr>
                <w:rFonts w:ascii="Times New Roman" w:eastAsia="Times New Roman" w:hAnsi="Times New Roman" w:cs="Times New Roman"/>
                <w:sz w:val="24"/>
                <w:szCs w:val="24"/>
                <w:lang w:eastAsia="bg-BG"/>
              </w:rPr>
              <w:t xml:space="preserve"> прагът на допустимите минимални помощи.</w:t>
            </w:r>
          </w:p>
          <w:p w14:paraId="380D1CF9"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случай на промяна на нормативните изисквания в областта на минималните помощи до сключване на договор за безвъзмездно финансиране, ще бъдат прилагани новите изисквания.</w:t>
            </w:r>
          </w:p>
          <w:p w14:paraId="6A1D41FD" w14:textId="77777777" w:rsidR="009C0430" w:rsidRDefault="00B27CD4">
            <w:pPr>
              <w:tabs>
                <w:tab w:val="left" w:pos="4820"/>
              </w:tabs>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Възстановяване:</w:t>
            </w:r>
          </w:p>
          <w:p w14:paraId="7F797653"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w:t>
            </w:r>
          </w:p>
          <w:p w14:paraId="71BD522C" w14:textId="77777777" w:rsidR="009C0430" w:rsidRDefault="00B27CD4">
            <w:pPr>
              <w:tabs>
                <w:tab w:val="left" w:pos="4820"/>
              </w:tabs>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Помощ, обявена за неправомерно предоставена, представлява публично вземане, което се събира по реда на Данъчно-осигурителния процесуален кодекс.</w:t>
            </w:r>
          </w:p>
        </w:tc>
      </w:tr>
    </w:tbl>
    <w:p w14:paraId="1B421991" w14:textId="77777777" w:rsidR="009C0430" w:rsidRDefault="00B27CD4">
      <w:pPr>
        <w:pStyle w:val="1"/>
      </w:pPr>
      <w:bookmarkStart w:id="73" w:name="_Toc445385602"/>
      <w:bookmarkStart w:id="74" w:name="_Toc488319661"/>
      <w:r>
        <w:lastRenderedPageBreak/>
        <w:t>17. Хоризонтални политики:</w:t>
      </w:r>
      <w:bookmarkEnd w:id="73"/>
      <w:bookmarkEnd w:id="74"/>
    </w:p>
    <w:tbl>
      <w:tblPr>
        <w:tblStyle w:val="afe"/>
        <w:tblW w:w="0" w:type="auto"/>
        <w:tblLook w:val="04A0" w:firstRow="1" w:lastRow="0" w:firstColumn="1" w:lastColumn="0" w:noHBand="0" w:noVBand="1"/>
      </w:tblPr>
      <w:tblGrid>
        <w:gridCol w:w="9496"/>
      </w:tblGrid>
      <w:tr w:rsidR="009C0430" w14:paraId="145F3300" w14:textId="77777777">
        <w:tc>
          <w:tcPr>
            <w:tcW w:w="9496" w:type="dxa"/>
          </w:tcPr>
          <w:p w14:paraId="51DB895F" w14:textId="77777777" w:rsidR="009C0430" w:rsidRDefault="00B27CD4">
            <w:pPr>
              <w:tabs>
                <w:tab w:val="left" w:pos="567"/>
              </w:tabs>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w:t>
            </w:r>
          </w:p>
          <w:p w14:paraId="6E31D61A" w14:textId="77777777" w:rsidR="009C0430" w:rsidRDefault="00B27CD4">
            <w:pPr>
              <w:tabs>
                <w:tab w:val="left" w:pos="567"/>
              </w:tabs>
              <w:spacing w:before="120" w:after="120"/>
              <w:jc w:val="both"/>
              <w:rPr>
                <w:rFonts w:ascii="Times New Roman" w:eastAsia="Times New Roman" w:hAnsi="Times New Roman" w:cs="Times New Roman"/>
                <w:b/>
                <w:snapToGrid w:val="0"/>
                <w:sz w:val="24"/>
                <w:szCs w:val="24"/>
                <w:u w:val="single"/>
                <w:lang w:eastAsia="bg-BG"/>
              </w:rPr>
            </w:pPr>
            <w:r>
              <w:rPr>
                <w:rFonts w:ascii="Times New Roman" w:eastAsia="Times New Roman" w:hAnsi="Times New Roman" w:cs="Times New Roman"/>
                <w:b/>
                <w:snapToGrid w:val="0"/>
                <w:sz w:val="24"/>
                <w:szCs w:val="24"/>
                <w:u w:val="single"/>
                <w:lang w:eastAsia="bg-BG"/>
              </w:rPr>
              <w:t>Настоящата процедура се провежда при спазване на заложените в Оперативна програма „Развитие на човешките ресурси“ 2014-2020 хоризонтални принципи.</w:t>
            </w:r>
          </w:p>
          <w:p w14:paraId="08EFA66C" w14:textId="77777777" w:rsidR="009C0430" w:rsidRDefault="00B27CD4">
            <w:pPr>
              <w:tabs>
                <w:tab w:val="left" w:pos="567"/>
              </w:tabs>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При подготовката и изпълнението на дейностите на всяко проектно предложение следва да се спазват и прилагат задължително и трите хоризонтални принципа.</w:t>
            </w:r>
          </w:p>
          <w:p w14:paraId="6CD04430" w14:textId="77777777" w:rsidR="009C0430" w:rsidRDefault="00B27CD4">
            <w:pPr>
              <w:tabs>
                <w:tab w:val="left" w:pos="567"/>
              </w:tabs>
              <w:spacing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С подписването на Формуляра за кандидатстване, кандидатът се задължава да ги спазва.</w:t>
            </w:r>
          </w:p>
          <w:p w14:paraId="0CD4E62B" w14:textId="77777777" w:rsidR="009C0430" w:rsidRDefault="00B27CD4">
            <w:pPr>
              <w:pStyle w:val="GfAheading1"/>
              <w:numPr>
                <w:ilvl w:val="0"/>
                <w:numId w:val="17"/>
              </w:numPr>
              <w:spacing w:before="120" w:after="120"/>
              <w:jc w:val="both"/>
              <w:outlineLvl w:val="1"/>
              <w:rPr>
                <w:lang w:eastAsia="bg-BG"/>
              </w:rPr>
            </w:pPr>
            <w:bookmarkStart w:id="75" w:name="_Toc445385349"/>
            <w:bookmarkStart w:id="76" w:name="_Toc445385603"/>
            <w:r>
              <w:rPr>
                <w:lang w:eastAsia="bg-BG"/>
              </w:rPr>
              <w:t>Равни възможности и недопускане на дискриминация</w:t>
            </w:r>
            <w:bookmarkEnd w:id="75"/>
            <w:bookmarkEnd w:id="76"/>
          </w:p>
          <w:p w14:paraId="5E8EB57E"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изпълнение на чл. 96, ал. 7, т. б на Регламент (ЕС) № 1303/2013 на Европейския парламент и на Съвета от 17 декември 2013 г. по време на различните етапи на прилагането на ОП РЧР 2014-2020 г. и особено по отношение на достъпа до финансиране се предприемат конкретни действия и мерки за насърчаване на равните възможности и предотвратяването на всякаква дискриминация, основана на пол, раса, цвят на кожата, етническа принадлежност или социален произход, генетични характеристики, език, религия или убеждения, политически или други мнения, имотно състояние, произход, увреждане, възраст или сексуална ориентация, като се имат предвид потребностите на различните целеви групи, изправени пред риск от подобна дискриминация.</w:t>
            </w:r>
          </w:p>
          <w:p w14:paraId="23D5939E" w14:textId="77777777" w:rsidR="009C0430" w:rsidRDefault="00B27CD4">
            <w:pPr>
              <w:pStyle w:val="GfAheading1"/>
              <w:numPr>
                <w:ilvl w:val="0"/>
                <w:numId w:val="17"/>
              </w:numPr>
              <w:spacing w:before="120" w:after="120"/>
              <w:jc w:val="both"/>
              <w:outlineLvl w:val="1"/>
              <w:rPr>
                <w:lang w:eastAsia="bg-BG"/>
              </w:rPr>
            </w:pPr>
            <w:bookmarkStart w:id="77" w:name="_Toc445385350"/>
            <w:bookmarkStart w:id="78" w:name="_Toc445385604"/>
            <w:r>
              <w:rPr>
                <w:lang w:eastAsia="bg-BG"/>
              </w:rPr>
              <w:t>Равенство между половете</w:t>
            </w:r>
            <w:bookmarkEnd w:id="77"/>
            <w:bookmarkEnd w:id="78"/>
          </w:p>
          <w:p w14:paraId="538CDD01"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Равенството между мъжете и жените и интегрирането на принципа за равенство на възможностите ще се насърчава по време на различните етапи на прилагането на оперативната програма и особено по отношение на достъпа до финансиране.</w:t>
            </w:r>
          </w:p>
          <w:p w14:paraId="5E074993"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Конкретно в рамките на програмата </w:t>
            </w:r>
            <w:proofErr w:type="spellStart"/>
            <w:r>
              <w:rPr>
                <w:rFonts w:ascii="Times New Roman" w:eastAsia="Times New Roman" w:hAnsi="Times New Roman" w:cs="Times New Roman"/>
                <w:sz w:val="24"/>
                <w:szCs w:val="24"/>
                <w:lang w:eastAsia="bg-BG"/>
              </w:rPr>
              <w:t>сеподкрепят</w:t>
            </w:r>
            <w:proofErr w:type="spellEnd"/>
            <w:r>
              <w:rPr>
                <w:rFonts w:ascii="Times New Roman" w:eastAsia="Times New Roman" w:hAnsi="Times New Roman" w:cs="Times New Roman"/>
                <w:sz w:val="24"/>
                <w:szCs w:val="24"/>
                <w:lang w:eastAsia="bg-BG"/>
              </w:rPr>
              <w:t xml:space="preserve"> действия, насърчаващи съвместяването на професионалния с личния и семеен живот, насърчаване гъвкави форми на заетост и </w:t>
            </w:r>
            <w:r>
              <w:rPr>
                <w:rFonts w:ascii="Times New Roman" w:eastAsia="Times New Roman" w:hAnsi="Times New Roman" w:cs="Times New Roman"/>
                <w:sz w:val="24"/>
                <w:szCs w:val="24"/>
                <w:lang w:eastAsia="bg-BG"/>
              </w:rPr>
              <w:lastRenderedPageBreak/>
              <w:t>гъвкаво работно време, предоставяне на възможности за дистанционни обучения и работа, насърчаване на икономическата активност и независимост на жените, подкрепа за фирмени практики за насърчаване равенството между мъжете и жените на работното място и съчетаване на професионалния и личния живот, и др.</w:t>
            </w:r>
          </w:p>
          <w:p w14:paraId="589E80EA" w14:textId="77777777" w:rsidR="009C0430" w:rsidRDefault="00B27CD4">
            <w:pPr>
              <w:pStyle w:val="GfAheading1"/>
              <w:numPr>
                <w:ilvl w:val="0"/>
                <w:numId w:val="0"/>
              </w:numPr>
              <w:spacing w:before="120" w:after="120"/>
              <w:jc w:val="both"/>
              <w:outlineLvl w:val="1"/>
              <w:rPr>
                <w:b w:val="0"/>
                <w:lang w:eastAsia="bg-BG"/>
              </w:rPr>
            </w:pPr>
            <w:bookmarkStart w:id="79" w:name="_Toc445385605"/>
            <w:bookmarkStart w:id="80" w:name="_Toc445385351"/>
            <w:r>
              <w:rPr>
                <w:b w:val="0"/>
                <w:lang w:eastAsia="bg-BG"/>
              </w:rPr>
              <w:t>Чрез интегрирането на принципа за равенство между половете, усилията не се ограничават единствено до прилагането на определени действия насочени към жените, а се преследва постигането на равенство, отчитащо въздействието на дадена ситуация, както върху мъжете, така и върху жените.</w:t>
            </w:r>
            <w:bookmarkEnd w:id="79"/>
            <w:bookmarkEnd w:id="80"/>
          </w:p>
          <w:p w14:paraId="53C47C28" w14:textId="77777777" w:rsidR="009C0430" w:rsidRDefault="00B27CD4">
            <w:pPr>
              <w:pStyle w:val="GfAheading1"/>
              <w:numPr>
                <w:ilvl w:val="0"/>
                <w:numId w:val="17"/>
              </w:numPr>
              <w:spacing w:before="120" w:after="120"/>
              <w:jc w:val="both"/>
              <w:outlineLvl w:val="1"/>
              <w:rPr>
                <w:lang w:eastAsia="bg-BG"/>
              </w:rPr>
            </w:pPr>
            <w:bookmarkStart w:id="81" w:name="_Toc445385352"/>
            <w:bookmarkStart w:id="82" w:name="_Toc445385606"/>
            <w:r>
              <w:rPr>
                <w:lang w:eastAsia="bg-BG"/>
              </w:rPr>
              <w:t>Устойчиво развитие</w:t>
            </w:r>
            <w:bookmarkEnd w:id="81"/>
            <w:bookmarkEnd w:id="82"/>
          </w:p>
          <w:p w14:paraId="33DBDAA1" w14:textId="77777777" w:rsidR="009C0430" w:rsidRDefault="00B27CD4">
            <w:pPr>
              <w:pStyle w:val="a0"/>
              <w:spacing w:before="120" w:after="120"/>
              <w:ind w:left="0"/>
              <w:contextualSpacing w:val="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Посредством инвестиционните приоритети, към които е насочена подкрепата на ОП РЧР 2014-2020 г. ще се предостави и подкрепа за прехода към икономика, която е нисковъглеродна, устойчива на изменението на климата, екологично устойчива и използваща ефикасно ресурсите. ОП РЧР 2014-2020 предвижда специфични мерки, насочени към опазването на околната среда и подкрепа за зелен растеж в рамките на съответните приоритетни оси, а също така и интегриране на изискванията за опазване на околната среда, ресурсната ефективност, смекчаването на изменението на климата и адаптацията към него, устойчивостта на природни бедствия, както и превенцията и управлението на риска на хоризонтално ниво при подбора и изпълнението на проектите по програмата.</w:t>
            </w:r>
          </w:p>
        </w:tc>
      </w:tr>
    </w:tbl>
    <w:p w14:paraId="233438AE" w14:textId="77777777" w:rsidR="009C0430" w:rsidRDefault="00B27CD4">
      <w:pPr>
        <w:pStyle w:val="1"/>
      </w:pPr>
      <w:bookmarkStart w:id="83" w:name="_Toc488319662"/>
      <w:bookmarkStart w:id="84" w:name="_Toc445385607"/>
      <w:r>
        <w:lastRenderedPageBreak/>
        <w:t>18. Минимален и максимален срок за изпълнение на проекта:</w:t>
      </w:r>
      <w:bookmarkEnd w:id="83"/>
      <w:bookmarkEnd w:id="84"/>
    </w:p>
    <w:tbl>
      <w:tblPr>
        <w:tblStyle w:val="afe"/>
        <w:tblW w:w="0" w:type="auto"/>
        <w:tblLook w:val="04A0" w:firstRow="1" w:lastRow="0" w:firstColumn="1" w:lastColumn="0" w:noHBand="0" w:noVBand="1"/>
      </w:tblPr>
      <w:tblGrid>
        <w:gridCol w:w="9496"/>
      </w:tblGrid>
      <w:tr w:rsidR="009C0430" w14:paraId="6F482B1D" w14:textId="77777777">
        <w:tc>
          <w:tcPr>
            <w:tcW w:w="9496" w:type="dxa"/>
          </w:tcPr>
          <w:p w14:paraId="256F2F19"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Проектните предложения се изпълняват в срок от 24 месеца от подписване на административен договор за предоставяне на безвъзмездна финансова помощ.</w:t>
            </w:r>
          </w:p>
          <w:p w14:paraId="356E9B4A" w14:textId="77777777" w:rsidR="009C0430" w:rsidRDefault="00B27CD4">
            <w:pPr>
              <w:pStyle w:val="a0"/>
              <w:spacing w:before="120" w:after="120"/>
              <w:ind w:left="0"/>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Крайният срок за изпълнение на проекти, получаващи финансиране по настоящата процедура е 30.06.2023 г.</w:t>
            </w:r>
          </w:p>
        </w:tc>
      </w:tr>
    </w:tbl>
    <w:p w14:paraId="3EAAF172" w14:textId="77777777" w:rsidR="009C0430" w:rsidRDefault="00B27CD4">
      <w:pPr>
        <w:pStyle w:val="1"/>
      </w:pPr>
      <w:bookmarkStart w:id="85" w:name="_Toc445385608"/>
      <w:bookmarkStart w:id="86" w:name="_Toc488319663"/>
      <w:r>
        <w:t xml:space="preserve">19. </w:t>
      </w:r>
      <w:bookmarkStart w:id="87" w:name="_Toc445385610"/>
      <w:bookmarkEnd w:id="85"/>
      <w:r>
        <w:t>Ред за оценяване на проектните предложения:</w:t>
      </w:r>
      <w:bookmarkEnd w:id="86"/>
      <w:bookmarkEnd w:id="87"/>
    </w:p>
    <w:tbl>
      <w:tblPr>
        <w:tblStyle w:val="afe"/>
        <w:tblW w:w="9606" w:type="dxa"/>
        <w:tblLook w:val="04A0" w:firstRow="1" w:lastRow="0" w:firstColumn="1" w:lastColumn="0" w:noHBand="0" w:noVBand="1"/>
      </w:tblPr>
      <w:tblGrid>
        <w:gridCol w:w="9606"/>
      </w:tblGrid>
      <w:tr w:rsidR="009C0430" w14:paraId="78D07C49" w14:textId="77777777">
        <w:tc>
          <w:tcPr>
            <w:tcW w:w="9606" w:type="dxa"/>
          </w:tcPr>
          <w:p w14:paraId="3EFD6A45" w14:textId="77777777" w:rsidR="009C0430" w:rsidRDefault="00B27CD4">
            <w:pPr>
              <w:spacing w:before="120" w:after="120" w:line="240" w:lineRule="atLeast"/>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Всички проектни предложения, подадени в срок, се оценяват в съответствие с критериите, описани в Условията за кандидатстване. Критериите не подлежат на изменение по време на провеждането на процедурата. Оценката се извършва в системата ИСУН 2020 и се документира чрез попълването на оценителни таблици. Оценката на проектните предложения включва:</w:t>
            </w:r>
          </w:p>
          <w:p w14:paraId="1AE2BA53" w14:textId="77777777" w:rsidR="009C0430" w:rsidRDefault="00B27CD4">
            <w:pPr>
              <w:pStyle w:val="firstline"/>
              <w:spacing w:before="120" w:after="120"/>
              <w:ind w:firstLine="0"/>
            </w:pPr>
            <w:r>
              <w:tab/>
              <w:t>1. Оценка на административното съответствие и допустимостта;</w:t>
            </w:r>
          </w:p>
          <w:p w14:paraId="0712D327" w14:textId="77777777" w:rsidR="009C0430" w:rsidRDefault="00B27CD4">
            <w:pPr>
              <w:pStyle w:val="firstline"/>
              <w:spacing w:before="120" w:after="120"/>
              <w:ind w:firstLine="0"/>
            </w:pPr>
            <w:r>
              <w:tab/>
              <w:t>2. Техническа и финансова оценка.</w:t>
            </w:r>
          </w:p>
          <w:p w14:paraId="783B4034" w14:textId="77777777" w:rsidR="009C0430" w:rsidRDefault="00B27CD4">
            <w:pPr>
              <w:pStyle w:val="Text1"/>
              <w:tabs>
                <w:tab w:val="left" w:pos="567"/>
                <w:tab w:val="left" w:pos="2608"/>
                <w:tab w:val="left" w:pos="3317"/>
              </w:tabs>
              <w:spacing w:before="120" w:after="120"/>
              <w:ind w:left="0"/>
              <w:rPr>
                <w:b/>
                <w:szCs w:val="24"/>
                <w:lang w:val="bg-BG" w:eastAsia="bg-BG"/>
              </w:rPr>
            </w:pPr>
            <w:r>
              <w:rPr>
                <w:b/>
                <w:szCs w:val="24"/>
                <w:lang w:val="bg-BG" w:eastAsia="bg-BG"/>
              </w:rPr>
              <w:t>ЕТАП 1: ОЦЕНКА НА АДМИНИСТРАТИВНОТО СЪОТВЕТСТВИЕ И ДОПУСТИМОСТТА</w:t>
            </w:r>
          </w:p>
          <w:p w14:paraId="141AFE35" w14:textId="77777777" w:rsidR="009C0430" w:rsidRDefault="00B27CD4">
            <w:pPr>
              <w:pStyle w:val="31"/>
              <w:spacing w:before="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Комисия, назначена със заповед на председателя на Управителния съвет на МИГ, ще извърши оценка на административното съответствие и допустимостта на проектните предложения.</w:t>
            </w:r>
          </w:p>
          <w:p w14:paraId="6A96FFB5" w14:textId="77777777" w:rsidR="009C0430" w:rsidRDefault="00B27CD4">
            <w:pPr>
              <w:pStyle w:val="31"/>
              <w:spacing w:after="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Оценката за АСД се извършва с попълване на оценителна таблица в системата ИСУН 2020 от двама членове на КИП.</w:t>
            </w:r>
          </w:p>
          <w:p w14:paraId="3DDCB565" w14:textId="77777777" w:rsidR="009C0430" w:rsidRDefault="00B27CD4">
            <w:pPr>
              <w:pStyle w:val="Default"/>
              <w:jc w:val="both"/>
              <w:rPr>
                <w:u w:val="single"/>
              </w:rPr>
            </w:pPr>
            <w:r>
              <w:t xml:space="preserve">Съгласно разпоредбите на Минималните изисквания по чл. 41, ал. 2 от ПМС 161 от 04 юли </w:t>
            </w:r>
            <w:r>
              <w:lastRenderedPageBreak/>
              <w:t xml:space="preserve">2016 г. когато при оценката на административното съответствие и допустимостта се установи липса на документи и/или друга нередовност, комисията изпраща на кандидата уведомление за установените </w:t>
            </w:r>
            <w:proofErr w:type="spellStart"/>
            <w:r>
              <w:t>нередовности</w:t>
            </w:r>
            <w:proofErr w:type="spellEnd"/>
            <w: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Pr>
                <w:b/>
                <w:bCs/>
              </w:rPr>
              <w:t>неотстраняване</w:t>
            </w:r>
            <w:proofErr w:type="spellEnd"/>
            <w:r>
              <w:rPr>
                <w:b/>
                <w:bCs/>
              </w:rPr>
              <w:t xml:space="preserve"> на </w:t>
            </w:r>
            <w:proofErr w:type="spellStart"/>
            <w:r>
              <w:rPr>
                <w:b/>
                <w:bCs/>
              </w:rPr>
              <w:t>нередовностите</w:t>
            </w:r>
            <w:proofErr w:type="spellEnd"/>
            <w:r>
              <w:rPr>
                <w:b/>
                <w:bCs/>
              </w:rPr>
              <w:t xml:space="preserve"> в срок може да доведе до прекратяване на производството по отношение на </w:t>
            </w:r>
            <w:proofErr w:type="spellStart"/>
            <w:r>
              <w:rPr>
                <w:b/>
                <w:bCs/>
              </w:rPr>
              <w:t>кандидата.</w:t>
            </w:r>
            <w:r>
              <w:t>Отстраняването</w:t>
            </w:r>
            <w:proofErr w:type="spellEnd"/>
            <w:r>
              <w:t xml:space="preserve"> на </w:t>
            </w:r>
            <w:proofErr w:type="spellStart"/>
            <w:r>
              <w:t>нередовностите</w:t>
            </w:r>
            <w:proofErr w:type="spellEnd"/>
            <w:r>
              <w:t xml:space="preserve"> не може да води до подобряване на качеството на проектното предложение. </w:t>
            </w:r>
            <w:r>
              <w:rPr>
                <w:u w:val="single"/>
              </w:rPr>
              <w:t xml:space="preserve">Кореспонденцията с кандидата ще се извършва през системата ИСУН 2020 чрез профила на кандидата и асоциирания към него електронен адрес на потребителя. </w:t>
            </w:r>
          </w:p>
          <w:p w14:paraId="5727BA15" w14:textId="77777777" w:rsidR="009C0430" w:rsidRDefault="00B27CD4">
            <w:pPr>
              <w:pStyle w:val="Default"/>
              <w:jc w:val="both"/>
            </w:pPr>
            <w:r>
              <w:t xml:space="preserve">Кандидатът няма право да представя на комисията други документи освен липсващите и тези за отстраняване на </w:t>
            </w:r>
            <w:proofErr w:type="spellStart"/>
            <w:r>
              <w:t>нередовностите</w:t>
            </w:r>
            <w:proofErr w:type="spellEnd"/>
            <w:r>
              <w:t xml:space="preserve">. </w:t>
            </w:r>
          </w:p>
          <w:p w14:paraId="2A1AA207" w14:textId="77777777" w:rsidR="009C0430" w:rsidRDefault="00B27CD4">
            <w:pPr>
              <w:pStyle w:val="Default"/>
              <w:jc w:val="both"/>
            </w:pPr>
            <w:r>
              <w:t xml:space="preserve">На следния уеб адрес е наличен видеоклип, онагледяващ процеса на отговор на въпрос от оценителната </w:t>
            </w:r>
            <w:proofErr w:type="spellStart"/>
            <w:r>
              <w:t>комисия:</w:t>
            </w:r>
            <w:r>
              <w:rPr>
                <w:color w:val="0070C0"/>
              </w:rPr>
              <w:t>https</w:t>
            </w:r>
            <w:proofErr w:type="spellEnd"/>
            <w:r>
              <w:rPr>
                <w:color w:val="0070C0"/>
              </w:rPr>
              <w:t>://www.youtube.com/watch?v=x6T0AavwC68</w:t>
            </w:r>
          </w:p>
          <w:p w14:paraId="5AC6BDAF" w14:textId="77777777" w:rsidR="009C0430" w:rsidRDefault="009C0430">
            <w:pPr>
              <w:pStyle w:val="Default"/>
              <w:jc w:val="both"/>
            </w:pPr>
          </w:p>
          <w:p w14:paraId="1567C5EF" w14:textId="77777777" w:rsidR="009C0430" w:rsidRDefault="009C0430">
            <w:pPr>
              <w:pStyle w:val="31"/>
              <w:spacing w:after="0"/>
              <w:jc w:val="both"/>
              <w:rPr>
                <w:rFonts w:ascii="Times New Roman" w:eastAsia="Times New Roman" w:hAnsi="Times New Roman" w:cs="Times New Roman"/>
                <w:sz w:val="24"/>
                <w:szCs w:val="24"/>
                <w:lang w:eastAsia="bg-BG"/>
              </w:rPr>
            </w:pPr>
          </w:p>
          <w:p w14:paraId="49210FC1" w14:textId="77777777" w:rsidR="009C0430" w:rsidRDefault="00B27CD4">
            <w:pPr>
              <w:pStyle w:val="31"/>
              <w:spacing w:after="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14:paraId="14664638" w14:textId="77777777" w:rsidR="009C0430" w:rsidRDefault="00B27CD4">
            <w:pPr>
              <w:pStyle w:val="31"/>
              <w:spacing w:before="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Проектните предложения, които не отговарят на критериите за административното съответствие и допустимост не се допускат до следващ етап на оценка.</w:t>
            </w:r>
          </w:p>
          <w:p w14:paraId="32A0836C" w14:textId="77777777" w:rsidR="009C0430" w:rsidRDefault="00B27CD4">
            <w:pPr>
              <w:pStyle w:val="Text1"/>
              <w:tabs>
                <w:tab w:val="left" w:pos="567"/>
                <w:tab w:val="left" w:pos="2608"/>
                <w:tab w:val="left" w:pos="3317"/>
              </w:tabs>
              <w:spacing w:before="120" w:after="120"/>
              <w:jc w:val="left"/>
              <w:rPr>
                <w:b/>
                <w:szCs w:val="24"/>
                <w:lang w:val="bg-BG" w:eastAsia="bg-BG"/>
              </w:rPr>
            </w:pPr>
            <w:r>
              <w:rPr>
                <w:b/>
                <w:szCs w:val="24"/>
                <w:lang w:val="bg-BG" w:eastAsia="bg-BG"/>
              </w:rPr>
              <w:t xml:space="preserve">ЕТАП 2: ТЕХНИЧЕСКА И ФИНАНСОВА ОЦЕНКА </w:t>
            </w:r>
          </w:p>
          <w:p w14:paraId="52DE9F19" w14:textId="77777777" w:rsidR="009C0430" w:rsidRDefault="00B27CD4">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“Техническа и финансова оценка” е оценка по същество на проектните предложения, която се извършва в съответствие с критериите за оценка.</w:t>
            </w:r>
          </w:p>
          <w:p w14:paraId="418A6C41" w14:textId="77777777" w:rsidR="009C0430" w:rsidRDefault="00B27CD4">
            <w:pPr>
              <w:autoSpaceDE w:val="0"/>
              <w:autoSpaceDN w:val="0"/>
              <w:adjustRightInd w:val="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Оценката се провежда, чрез попълване на оценителни таблици в системата ИСУН 2020.</w:t>
            </w:r>
          </w:p>
          <w:p w14:paraId="7667E236" w14:textId="77777777" w:rsidR="009C0430" w:rsidRDefault="00B27CD4">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Оценката се извършва от двама членове на комисията в съответствие  с чл.19 от ПМС 162/2016 год. Окончателната оценка е средноаритметично от оценките на двамата оценители. </w:t>
            </w:r>
          </w:p>
          <w:p w14:paraId="0A5E2157" w14:textId="77777777" w:rsidR="009C0430" w:rsidRDefault="00B27CD4">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В случай на разлика от двете оценки по-голяма от 20% от максималната възможна оценка председателят на комисията възлага оценяването на трето лице – член на комисията с право на глас.</w:t>
            </w:r>
          </w:p>
          <w:p w14:paraId="5831B37D" w14:textId="77777777" w:rsidR="009C0430" w:rsidRDefault="00B27CD4">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По време на оценката комисията може да изиска допълнителна информация или разяснения, които не променят качеството на проекта.</w:t>
            </w:r>
          </w:p>
          <w:p w14:paraId="05BF94AF" w14:textId="77777777" w:rsidR="009C0430" w:rsidRDefault="009C0430">
            <w:pPr>
              <w:autoSpaceDE w:val="0"/>
              <w:autoSpaceDN w:val="0"/>
              <w:adjustRightInd w:val="0"/>
              <w:rPr>
                <w:rFonts w:ascii="Times New Roman" w:eastAsia="Times New Roman" w:hAnsi="Times New Roman" w:cs="Times New Roman"/>
                <w:color w:val="000000"/>
                <w:sz w:val="24"/>
                <w:szCs w:val="24"/>
                <w:lang w:eastAsia="bg-BG"/>
              </w:rPr>
            </w:pPr>
          </w:p>
          <w:p w14:paraId="21B7C1FC" w14:textId="77777777" w:rsidR="009C0430" w:rsidRDefault="00B27CD4">
            <w:pPr>
              <w:autoSpaceDE w:val="0"/>
              <w:autoSpaceDN w:val="0"/>
              <w:adjustRightInd w:val="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Техническа и финансова оценка </w:t>
            </w:r>
            <w:r>
              <w:rPr>
                <w:rFonts w:ascii="Times New Roman" w:eastAsia="Times New Roman" w:hAnsi="Times New Roman" w:cs="Times New Roman"/>
                <w:bCs/>
                <w:color w:val="000000"/>
                <w:sz w:val="24"/>
                <w:szCs w:val="24"/>
                <w:lang w:eastAsia="bg-BG"/>
              </w:rPr>
              <w:t>включва:</w:t>
            </w:r>
          </w:p>
          <w:p w14:paraId="2199B42B" w14:textId="77777777" w:rsidR="009C0430" w:rsidRDefault="00B27CD4">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оперативен капацитет на кандидата/партньора – опит в управление на проекти, както и опит в дейности като тези, включени в проектното предложение. </w:t>
            </w:r>
          </w:p>
          <w:p w14:paraId="20A1A45F" w14:textId="77777777" w:rsidR="009C0430" w:rsidRDefault="00B27CD4">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описание и обосновка на целите на проекта и на потребностите на целевите групи и връзката им със заложените резултати по проекта; </w:t>
            </w:r>
          </w:p>
          <w:p w14:paraId="742BA6AD" w14:textId="77777777" w:rsidR="009C0430" w:rsidRDefault="00B27CD4">
            <w:pPr>
              <w:autoSpaceDE w:val="0"/>
              <w:autoSpaceDN w:val="0"/>
              <w:adjustRightInd w:val="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съответствие на дейностите със заложените цели и очакваните резултати, както и последователност и продължителност на изпълнение на дейностите; </w:t>
            </w:r>
          </w:p>
          <w:p w14:paraId="49A636B4" w14:textId="77777777" w:rsidR="009C0430" w:rsidRDefault="00B27CD4">
            <w:pPr>
              <w:autoSpaceDE w:val="0"/>
              <w:autoSpaceDN w:val="0"/>
              <w:adjustRightInd w:val="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bg-BG"/>
              </w:rPr>
              <w:t>– бюджет и ефективност на разходите – съответствие на пред</w:t>
            </w:r>
            <w:r>
              <w:rPr>
                <w:rFonts w:ascii="Times New Roman" w:hAnsi="Times New Roman" w:cs="Times New Roman"/>
                <w:color w:val="000000"/>
                <w:sz w:val="24"/>
                <w:szCs w:val="24"/>
              </w:rPr>
              <w:t>видените разходи с поставените цели, дейности и очаквани резултати.</w:t>
            </w:r>
          </w:p>
          <w:p w14:paraId="088D7AF9" w14:textId="77777777" w:rsidR="009C0430" w:rsidRDefault="00B27CD4">
            <w:pPr>
              <w:autoSpaceDE w:val="0"/>
              <w:autoSpaceDN w:val="0"/>
              <w:adjustRightInd w:val="0"/>
              <w:spacing w:before="240"/>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от60 т.</w:t>
            </w:r>
          </w:p>
          <w:p w14:paraId="36B3654B" w14:textId="77777777" w:rsidR="009C0430" w:rsidRDefault="00B27CD4">
            <w:pPr>
              <w:autoSpaceDE w:val="0"/>
              <w:autoSpaceDN w:val="0"/>
              <w:adjustRightInd w:val="0"/>
              <w:spacing w:before="120" w:after="120"/>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lastRenderedPageBreak/>
              <w:t>В случай че две или повече проектни предложения имат еднакви общи крайни оценки, проектите ще бъдат подреждани в низходящ ред по следните критерии:</w:t>
            </w:r>
          </w:p>
          <w:p w14:paraId="1B41C8FD" w14:textId="77777777" w:rsidR="009C0430" w:rsidRDefault="00B27CD4">
            <w:pPr>
              <w:numPr>
                <w:ilvl w:val="0"/>
                <w:numId w:val="18"/>
              </w:numPr>
              <w:autoSpaceDE w:val="0"/>
              <w:autoSpaceDN w:val="0"/>
              <w:adjustRightInd w:val="0"/>
              <w:spacing w:before="120" w:after="120"/>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По-високи индикатори за изпълнение;</w:t>
            </w:r>
          </w:p>
          <w:p w14:paraId="45C8441D" w14:textId="77777777" w:rsidR="009C0430" w:rsidRDefault="00B27CD4">
            <w:pPr>
              <w:numPr>
                <w:ilvl w:val="0"/>
                <w:numId w:val="18"/>
              </w:numPr>
              <w:autoSpaceDE w:val="0"/>
              <w:autoSpaceDN w:val="0"/>
              <w:adjustRightInd w:val="0"/>
              <w:spacing w:before="120" w:after="120"/>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Крайната оценка на раздел 3 Методика и организация;</w:t>
            </w:r>
          </w:p>
          <w:p w14:paraId="2EE9DAD6" w14:textId="77777777" w:rsidR="009C0430" w:rsidRDefault="00B27CD4">
            <w:pPr>
              <w:numPr>
                <w:ilvl w:val="0"/>
                <w:numId w:val="18"/>
              </w:numPr>
              <w:autoSpaceDE w:val="0"/>
              <w:autoSpaceDN w:val="0"/>
              <w:adjustRightInd w:val="0"/>
              <w:spacing w:before="120" w:after="12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b/>
                <w:bCs/>
                <w:sz w:val="24"/>
                <w:szCs w:val="24"/>
                <w:lang w:eastAsia="bg-BG"/>
              </w:rPr>
              <w:t>Крайната оценка на раздел 4 Бюджет.</w:t>
            </w:r>
          </w:p>
          <w:p w14:paraId="5C7D1676" w14:textId="77777777" w:rsidR="009C0430" w:rsidRDefault="00B27CD4">
            <w:pPr>
              <w:pStyle w:val="Default"/>
              <w:jc w:val="both"/>
              <w:rPr>
                <w:b/>
              </w:rPr>
            </w:pPr>
            <w:r>
              <w:rPr>
                <w:b/>
              </w:rPr>
              <w:t>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w:t>
            </w:r>
          </w:p>
          <w:p w14:paraId="45D39B16" w14:textId="77777777" w:rsidR="009C0430" w:rsidRDefault="00B27CD4">
            <w:pPr>
              <w:pStyle w:val="Default"/>
              <w:jc w:val="both"/>
            </w:pPr>
            <w:r>
              <w:t xml:space="preserve">В случай че не се постигне увереност в оценителната комисия по време на оценката, че предвидените дейности и количества, посочените разходи за тяхното осъществяване и дефинираните резултати са аргументирани и съобразени (реалистични) със заложените цели на проектното предложение, ще се изпращат комуникации чрез ИСУН 2020.  Ако не се стигне до споразумение между оценителната комисия и кандидата, същият ще бъде поканен чрез ИСУН 2020 на присъствено договаряне. От срещата ще се изготвят протоколи, подписани от всички страни, участвали в договарянето. В протоколите ще се опишат и постигнатите споразумения, които ще се отразят и станат част от проектобюджета, административния договор и формуляра за кандидатстване. </w:t>
            </w:r>
          </w:p>
          <w:p w14:paraId="61F17C3F" w14:textId="77777777" w:rsidR="009C0430" w:rsidRDefault="00B27CD4">
            <w:pPr>
              <w:autoSpaceDE w:val="0"/>
              <w:autoSpaceDN w:val="0"/>
              <w:adjustRightInd w:val="0"/>
              <w:spacing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sz w:val="24"/>
                <w:szCs w:val="24"/>
                <w:lang w:eastAsia="bg-BG"/>
              </w:rPr>
              <w:t>В присъственото договаряне задължително трябва да присъства и лицето, представляващо кандидата.  В случай че кандидатът се представлява поотделно от няколко лица, поне едно от лицата, представляващи кандидата трябва да присъства на договарянето. (приложимо за Вариант II на бюджета).</w:t>
            </w:r>
            <w:r>
              <w:rPr>
                <w:rFonts w:ascii="Times New Roman" w:eastAsia="Times New Roman" w:hAnsi="Times New Roman" w:cs="Times New Roman"/>
                <w:color w:val="000000"/>
                <w:sz w:val="24"/>
                <w:szCs w:val="24"/>
                <w:lang w:eastAsia="bg-BG"/>
              </w:rPr>
              <w:t xml:space="preserve">Работата на КИП приключва с изготвяне на оценителен доклад за дейността си до Председателя на Колективния управителен орган на МИГ и РУО, съгласно изискванията на  чл.44 от ПМС 161/04.07.2016 год.  </w:t>
            </w:r>
          </w:p>
          <w:p w14:paraId="08387440" w14:textId="77777777" w:rsidR="009C0430" w:rsidRDefault="00B27CD4">
            <w:pPr>
              <w:autoSpaceDE w:val="0"/>
              <w:autoSpaceDN w:val="0"/>
              <w:adjustRightInd w:val="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color w:val="000000"/>
                <w:sz w:val="24"/>
                <w:szCs w:val="24"/>
                <w:lang w:eastAsia="bg-BG"/>
              </w:rPr>
              <w:t>Кандидатът получил уведомление от МИГ, че  проектното му предложение не е одобрено или частично одобрено има право на възражение до УО съгласно чл. 45 от ПМС 161/04.07.2016 год. в срок до 3 работни  дни.</w:t>
            </w:r>
          </w:p>
        </w:tc>
      </w:tr>
      <w:tr w:rsidR="009C0430" w14:paraId="49C9AD33" w14:textId="77777777">
        <w:tc>
          <w:tcPr>
            <w:tcW w:w="9606" w:type="dxa"/>
          </w:tcPr>
          <w:p w14:paraId="713CEFD5" w14:textId="77777777" w:rsidR="009C0430" w:rsidRDefault="009C0430">
            <w:pPr>
              <w:spacing w:before="120" w:after="120" w:line="240" w:lineRule="atLeast"/>
              <w:jc w:val="both"/>
              <w:rPr>
                <w:rFonts w:ascii="Times New Roman" w:eastAsia="Times New Roman" w:hAnsi="Times New Roman" w:cs="Times New Roman"/>
                <w:sz w:val="24"/>
                <w:szCs w:val="24"/>
                <w:lang w:eastAsia="bg-BG"/>
              </w:rPr>
            </w:pPr>
          </w:p>
        </w:tc>
      </w:tr>
    </w:tbl>
    <w:p w14:paraId="590649E1" w14:textId="77777777" w:rsidR="009C0430" w:rsidRDefault="00B27CD4">
      <w:pPr>
        <w:pStyle w:val="1"/>
      </w:pPr>
      <w:bookmarkStart w:id="88" w:name="_Toc445385611"/>
      <w:bookmarkStart w:id="89" w:name="_Toc488319664"/>
      <w:r>
        <w:t>20. Критерии и методика за оценка на проектните предложения:</w:t>
      </w:r>
      <w:bookmarkEnd w:id="88"/>
      <w:bookmarkEnd w:id="89"/>
    </w:p>
    <w:tbl>
      <w:tblPr>
        <w:tblStyle w:val="afe"/>
        <w:tblW w:w="9606" w:type="dxa"/>
        <w:tblLook w:val="04A0" w:firstRow="1" w:lastRow="0" w:firstColumn="1" w:lastColumn="0" w:noHBand="0" w:noVBand="1"/>
      </w:tblPr>
      <w:tblGrid>
        <w:gridCol w:w="9606"/>
      </w:tblGrid>
      <w:tr w:rsidR="009C0430" w14:paraId="205FFBF1" w14:textId="77777777">
        <w:tc>
          <w:tcPr>
            <w:tcW w:w="9606" w:type="dxa"/>
          </w:tcPr>
          <w:p w14:paraId="614D1A19" w14:textId="77777777" w:rsidR="009C0430" w:rsidRDefault="00B27CD4">
            <w:pPr>
              <w:spacing w:before="120" w:after="120"/>
              <w:jc w:val="both"/>
              <w:rPr>
                <w:rFonts w:ascii="Times New Roman" w:eastAsia="Times New Roman" w:hAnsi="Times New Roman" w:cs="Times New Roman"/>
                <w:b/>
                <w:bCs/>
                <w:i/>
                <w:snapToGrid w:val="0"/>
                <w:sz w:val="24"/>
                <w:szCs w:val="24"/>
                <w:lang w:eastAsia="bg-BG"/>
              </w:rPr>
            </w:pPr>
            <w:r>
              <w:rPr>
                <w:rFonts w:ascii="Times New Roman" w:eastAsia="Times New Roman" w:hAnsi="Times New Roman" w:cs="Times New Roman"/>
                <w:b/>
                <w:bCs/>
                <w:i/>
                <w:snapToGrid w:val="0"/>
                <w:sz w:val="24"/>
                <w:szCs w:val="24"/>
                <w:lang w:eastAsia="bg-BG"/>
              </w:rPr>
              <w:t>Критериите за оценка на етап АСД са подробно описани в Таблицата за оценка на административно съответствие и допустимост – Приложение към документите за информация към настоящите Условия за кандидатстване.</w:t>
            </w:r>
          </w:p>
          <w:p w14:paraId="65EF175B" w14:textId="77777777" w:rsidR="009C0430" w:rsidRDefault="00B27CD4">
            <w:pPr>
              <w:spacing w:before="120" w:after="120"/>
              <w:jc w:val="both"/>
              <w:rPr>
                <w:rFonts w:ascii="Times New Roman" w:eastAsia="Times New Roman" w:hAnsi="Times New Roman" w:cs="Times New Roman"/>
                <w:b/>
                <w:bCs/>
                <w:i/>
                <w:snapToGrid w:val="0"/>
                <w:sz w:val="24"/>
                <w:szCs w:val="24"/>
                <w:lang w:eastAsia="bg-BG"/>
              </w:rPr>
            </w:pPr>
            <w:r>
              <w:rPr>
                <w:rFonts w:ascii="Times New Roman" w:eastAsia="Times New Roman" w:hAnsi="Times New Roman" w:cs="Times New Roman"/>
                <w:b/>
                <w:bCs/>
                <w:i/>
                <w:snapToGrid w:val="0"/>
                <w:sz w:val="24"/>
                <w:szCs w:val="24"/>
                <w:lang w:eastAsia="bg-BG"/>
              </w:rPr>
              <w:t xml:space="preserve">“Техническа и финансова оценка” на проектните предложения се осъществява при спазване на Методологията за техническа и финансова оценка на проектни предложения по процедурата (Приложение за информация към настоящите Условия за кандидатстване)  </w:t>
            </w:r>
          </w:p>
        </w:tc>
      </w:tr>
    </w:tbl>
    <w:p w14:paraId="1D510606" w14:textId="77777777" w:rsidR="009C0430" w:rsidRDefault="00B27CD4">
      <w:pPr>
        <w:pStyle w:val="1"/>
      </w:pPr>
      <w:bookmarkStart w:id="90" w:name="_Toc445385615"/>
      <w:bookmarkStart w:id="91" w:name="_Toc488319665"/>
      <w:r>
        <w:t>21. Начин на подаване на проектните предложения:</w:t>
      </w:r>
      <w:bookmarkEnd w:id="90"/>
      <w:bookmarkEnd w:id="91"/>
    </w:p>
    <w:tbl>
      <w:tblPr>
        <w:tblStyle w:val="afe"/>
        <w:tblW w:w="0" w:type="auto"/>
        <w:tblLook w:val="04A0" w:firstRow="1" w:lastRow="0" w:firstColumn="1" w:lastColumn="0" w:noHBand="0" w:noVBand="1"/>
      </w:tblPr>
      <w:tblGrid>
        <w:gridCol w:w="9496"/>
      </w:tblGrid>
      <w:tr w:rsidR="009C0430" w14:paraId="1588D327" w14:textId="77777777">
        <w:tc>
          <w:tcPr>
            <w:tcW w:w="9496"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9C0430" w14:paraId="45ACD49F" w14:textId="77777777">
              <w:tc>
                <w:tcPr>
                  <w:tcW w:w="9953" w:type="dxa"/>
                  <w:shd w:val="clear" w:color="auto" w:fill="D9E2F3" w:themeFill="accent5" w:themeFillTint="33"/>
                  <w:vAlign w:val="center"/>
                </w:tcPr>
                <w:p w14:paraId="4860D3DE" w14:textId="77777777" w:rsidR="009C0430" w:rsidRDefault="00B27CD4">
                  <w:pPr>
                    <w:spacing w:before="120" w:after="120" w:line="240" w:lineRule="auto"/>
                    <w:jc w:val="both"/>
                    <w:rPr>
                      <w:rFonts w:ascii="Times New Roman" w:eastAsia="Times New Roman" w:hAnsi="Times New Roman" w:cs="Times New Roman"/>
                      <w:snapToGrid w:val="0"/>
                      <w:color w:val="0000FF"/>
                      <w:sz w:val="24"/>
                      <w:szCs w:val="24"/>
                      <w:u w:val="single"/>
                    </w:rPr>
                  </w:pPr>
                  <w:r>
                    <w:rPr>
                      <w:rFonts w:ascii="Times New Roman" w:eastAsia="Times New Roman" w:hAnsi="Times New Roman" w:cs="Times New Roman"/>
                      <w:snapToGrid w:val="0"/>
                      <w:sz w:val="24"/>
                      <w:szCs w:val="24"/>
                    </w:rPr>
                    <w:t xml:space="preserve">Проектните предложения по настоящата процедура за подбор на проекти, следва да бъдат подадени само по електронен път като се използва ИСУН 2020. Интернет адресът на модула за електронно кандидатстване на ИСУН 2020 е: </w:t>
                  </w:r>
                  <w:hyperlink r:id="rId12" w:history="1">
                    <w:r>
                      <w:rPr>
                        <w:rFonts w:ascii="Times New Roman" w:eastAsia="Times New Roman" w:hAnsi="Times New Roman" w:cs="Times New Roman"/>
                        <w:snapToGrid w:val="0"/>
                        <w:color w:val="0000FF"/>
                        <w:sz w:val="24"/>
                        <w:szCs w:val="24"/>
                        <w:u w:val="single"/>
                      </w:rPr>
                      <w:t>http://eumis2020.government.bg/</w:t>
                    </w:r>
                  </w:hyperlink>
                  <w:r>
                    <w:rPr>
                      <w:rFonts w:ascii="Times New Roman" w:eastAsia="Times New Roman" w:hAnsi="Times New Roman" w:cs="Times New Roman"/>
                      <w:snapToGrid w:val="0"/>
                      <w:color w:val="0000FF"/>
                      <w:sz w:val="24"/>
                      <w:szCs w:val="24"/>
                      <w:u w:val="single"/>
                    </w:rPr>
                    <w:t xml:space="preserve">, където е налично ръководство за работа със </w:t>
                  </w:r>
                  <w:r>
                    <w:rPr>
                      <w:rFonts w:ascii="Times New Roman" w:eastAsia="Times New Roman" w:hAnsi="Times New Roman" w:cs="Times New Roman"/>
                      <w:snapToGrid w:val="0"/>
                      <w:color w:val="0000FF"/>
                      <w:sz w:val="24"/>
                      <w:szCs w:val="24"/>
                      <w:u w:val="single"/>
                    </w:rPr>
                    <w:lastRenderedPageBreak/>
                    <w:t>системата.</w:t>
                  </w:r>
                </w:p>
              </w:tc>
            </w:tr>
          </w:tbl>
          <w:p w14:paraId="1265C3F6" w14:textId="77777777" w:rsidR="009C0430" w:rsidRDefault="00B27CD4">
            <w:pPr>
              <w:autoSpaceDE w:val="0"/>
              <w:autoSpaceDN w:val="0"/>
              <w:adjustRightInd w:val="0"/>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en-GB"/>
              </w:rPr>
              <w:lastRenderedPageBreak/>
              <w:t xml:space="preserve">Документите за кандидатстване </w:t>
            </w:r>
            <w:r>
              <w:rPr>
                <w:rFonts w:ascii="Times New Roman" w:eastAsia="Times New Roman" w:hAnsi="Times New Roman" w:cs="Times New Roman"/>
                <w:sz w:val="24"/>
                <w:szCs w:val="24"/>
                <w:lang w:eastAsia="bg-BG"/>
              </w:rPr>
              <w:t xml:space="preserve">следва да бъдат подадени </w:t>
            </w:r>
            <w:r>
              <w:rPr>
                <w:rFonts w:ascii="Times New Roman" w:eastAsia="Times New Roman" w:hAnsi="Times New Roman" w:cs="Times New Roman"/>
                <w:b/>
                <w:sz w:val="24"/>
                <w:szCs w:val="24"/>
                <w:u w:val="single"/>
                <w:lang w:eastAsia="bg-BG"/>
              </w:rPr>
              <w:t>само по електронен път.</w:t>
            </w:r>
          </w:p>
          <w:p w14:paraId="651B72EE" w14:textId="77777777" w:rsidR="009C0430" w:rsidRDefault="00B27CD4">
            <w:pPr>
              <w:pStyle w:val="Text1"/>
              <w:spacing w:before="120" w:after="120"/>
              <w:ind w:left="0"/>
              <w:rPr>
                <w:szCs w:val="24"/>
                <w:lang w:val="bg-BG" w:eastAsia="bg-BG"/>
              </w:rPr>
            </w:pPr>
            <w:r>
              <w:rPr>
                <w:szCs w:val="24"/>
                <w:lang w:val="bg-BG" w:eastAsia="bg-BG"/>
              </w:rPr>
              <w:t xml:space="preserve">Всеки кандидат по настоящата процедура има право да участва </w:t>
            </w:r>
            <w:r>
              <w:rPr>
                <w:b/>
                <w:szCs w:val="24"/>
                <w:u w:val="single"/>
                <w:lang w:val="bg-BG" w:eastAsia="bg-BG"/>
              </w:rPr>
              <w:t>с едно проектно предложение</w:t>
            </w:r>
            <w:r>
              <w:rPr>
                <w:szCs w:val="24"/>
                <w:lang w:val="bg-BG" w:eastAsia="bg-BG"/>
              </w:rPr>
              <w:t xml:space="preserve"> в настоящата процедура.</w:t>
            </w:r>
          </w:p>
          <w:p w14:paraId="69150800" w14:textId="77777777" w:rsidR="009C0430" w:rsidRDefault="00B27CD4">
            <w:pPr>
              <w:pStyle w:val="Text1"/>
              <w:spacing w:before="120" w:after="120"/>
              <w:ind w:left="0"/>
              <w:rPr>
                <w:szCs w:val="24"/>
                <w:lang w:val="bg-BG" w:eastAsia="bg-BG"/>
              </w:rPr>
            </w:pPr>
            <w:r>
              <w:rPr>
                <w:szCs w:val="24"/>
                <w:lang w:val="bg-BG" w:eastAsia="bg-BG"/>
              </w:rPr>
              <w:t>Подаването на проектното предложение се извършва чрез попълване на уеб базиран Формуляр за кандидатстване..</w:t>
            </w:r>
          </w:p>
          <w:p w14:paraId="66E0C549" w14:textId="77777777" w:rsidR="009C0430" w:rsidRDefault="00B27CD4">
            <w:pPr>
              <w:pStyle w:val="Text1"/>
              <w:spacing w:before="120" w:after="120"/>
              <w:ind w:left="0"/>
              <w:rPr>
                <w:szCs w:val="24"/>
                <w:lang w:val="bg-BG" w:eastAsia="bg-BG"/>
              </w:rPr>
            </w:pPr>
            <w:r>
              <w:rPr>
                <w:szCs w:val="24"/>
                <w:lang w:val="bg-BG" w:eastAsia="bg-BG"/>
              </w:rPr>
              <w:t>„Преди подаването на проектното предложение, Формулярът за кандидатстване задължително се подписва с КЕП с отделна сигнатура (</w:t>
            </w:r>
            <w:proofErr w:type="spellStart"/>
            <w:r>
              <w:rPr>
                <w:szCs w:val="24"/>
                <w:lang w:val="bg-BG" w:eastAsia="bg-BG"/>
              </w:rPr>
              <w:t>detached</w:t>
            </w:r>
            <w:proofErr w:type="spellEnd"/>
            <w:r>
              <w:rPr>
                <w:szCs w:val="24"/>
                <w:lang w:val="bg-BG" w:eastAsia="bg-BG"/>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57FD60D4" w14:textId="77777777" w:rsidR="009C0430" w:rsidRDefault="00B27CD4">
            <w:pPr>
              <w:pStyle w:val="Text1"/>
              <w:spacing w:before="120" w:after="120"/>
              <w:ind w:left="0"/>
              <w:rPr>
                <w:szCs w:val="24"/>
                <w:lang w:val="bg-BG" w:eastAsia="bg-BG"/>
              </w:rPr>
            </w:pPr>
            <w:r>
              <w:rPr>
                <w:szCs w:val="24"/>
                <w:lang w:val="bg-BG" w:eastAsia="bg-BG"/>
              </w:rPr>
              <w:t>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При идентифициране с КЕП, същият следва да е придружен от удостоверение за КЕП, издадено от доставчик на удостоверителни услуги, вписан в регистъра на доставчиците на удостоверителни услуги към Комисията за регулиране на съобщенията.“</w:t>
            </w:r>
          </w:p>
          <w:p w14:paraId="2E7880A8"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bCs/>
                <w:color w:val="000000"/>
                <w:sz w:val="24"/>
                <w:szCs w:val="24"/>
                <w:lang w:eastAsia="bg-BG"/>
              </w:rPr>
              <w:t xml:space="preserve">Кандидатите трябва да представят Формуляра за кандидатстване и приложенията на български език, с изключение на текстовете, за които се изисква информацията да бъде попълнена на английски език. </w:t>
            </w:r>
            <w:r>
              <w:rPr>
                <w:rFonts w:ascii="Times New Roman" w:eastAsia="Times New Roman" w:hAnsi="Times New Roman" w:cs="Times New Roman"/>
                <w:sz w:val="24"/>
                <w:szCs w:val="24"/>
                <w:lang w:eastAsia="bg-BG"/>
              </w:rPr>
              <w:t xml:space="preserve">Формулярът за кандидатстване по процедурата се попълва от кандидата, съгласно инструкциите, дадени в Указанията за попълване на формуляр за кандидатстване (Приложение за информация към Условията за кандидатстване). ИСУН 2020 предоставя възможност за коригиране и допълване на формуляра докато той е в режим чернова и работата по него се съхранява на сървърите на системата. </w:t>
            </w:r>
          </w:p>
          <w:p w14:paraId="5FEC6620"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Подготовката, подаването и регистрирането на проектното предложение в ИСУН 2020 се </w:t>
            </w:r>
            <w:proofErr w:type="spellStart"/>
            <w:r>
              <w:rPr>
                <w:rFonts w:ascii="Times New Roman" w:eastAsia="Times New Roman" w:hAnsi="Times New Roman" w:cs="Times New Roman"/>
                <w:b/>
                <w:sz w:val="24"/>
                <w:szCs w:val="24"/>
                <w:lang w:eastAsia="bg-BG"/>
              </w:rPr>
              <w:t>извършвасъгласно</w:t>
            </w:r>
            <w:proofErr w:type="spellEnd"/>
            <w:r>
              <w:rPr>
                <w:rFonts w:ascii="Times New Roman" w:eastAsia="Times New Roman" w:hAnsi="Times New Roman" w:cs="Times New Roman"/>
                <w:b/>
                <w:sz w:val="24"/>
                <w:szCs w:val="24"/>
                <w:lang w:eastAsia="bg-BG"/>
              </w:rPr>
              <w:t xml:space="preserve"> Указанията за попълване на формуляра (Приложение за информация към настоящите Указания).</w:t>
            </w:r>
          </w:p>
          <w:tbl>
            <w:tblPr>
              <w:tblStyle w:val="afe"/>
              <w:tblW w:w="0" w:type="auto"/>
              <w:tblInd w:w="279" w:type="dxa"/>
              <w:tblLook w:val="04A0" w:firstRow="1" w:lastRow="0" w:firstColumn="1" w:lastColumn="0" w:noHBand="0" w:noVBand="1"/>
            </w:tblPr>
            <w:tblGrid>
              <w:gridCol w:w="8930"/>
            </w:tblGrid>
            <w:tr w:rsidR="009C0430" w14:paraId="7BB22D58" w14:textId="77777777">
              <w:tc>
                <w:tcPr>
                  <w:tcW w:w="8930" w:type="dxa"/>
                </w:tcPr>
                <w:p w14:paraId="0B16C334" w14:textId="77777777" w:rsidR="009C0430" w:rsidRDefault="00B27CD4">
                  <w:pPr>
                    <w:spacing w:before="120" w:after="120"/>
                    <w:ind w:left="284" w:hanging="284"/>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ВАЖНО! </w:t>
                  </w:r>
                </w:p>
                <w:p w14:paraId="034B52BF" w14:textId="77777777" w:rsidR="009C0430" w:rsidRDefault="00B27CD4">
                  <w:pPr>
                    <w:spacing w:before="120" w:after="120"/>
                    <w:ind w:left="284" w:hanging="28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Моля обърнете внимание, че електронната поща, с която се регистрирате като потребител в ИСУН 2020 е асоциирана с профила на кандидата. Комуникацията (Кореспонденцията) с кандидата се осъществява по електронен път чрез профила на кандидата в ИСУН 2020, от който е подаден съответния проект и промени на посочения профил са невъзможни.</w:t>
                  </w:r>
                </w:p>
              </w:tc>
            </w:tr>
          </w:tbl>
          <w:p w14:paraId="7D827F81"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Проектното предложение се изпраща чрез системата, съгласно Указанията за попълване на формуляра.</w:t>
            </w:r>
          </w:p>
          <w:p w14:paraId="1262766C"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След подаване на проектното </w:t>
            </w:r>
            <w:proofErr w:type="spellStart"/>
            <w:r>
              <w:rPr>
                <w:rFonts w:ascii="Times New Roman" w:eastAsia="Times New Roman" w:hAnsi="Times New Roman" w:cs="Times New Roman"/>
                <w:sz w:val="24"/>
                <w:szCs w:val="24"/>
                <w:lang w:eastAsia="bg-BG"/>
              </w:rPr>
              <w:t>предложение,системата</w:t>
            </w:r>
            <w:proofErr w:type="spellEnd"/>
            <w:r>
              <w:rPr>
                <w:rFonts w:ascii="Times New Roman" w:eastAsia="Times New Roman" w:hAnsi="Times New Roman" w:cs="Times New Roman"/>
                <w:sz w:val="24"/>
                <w:szCs w:val="24"/>
                <w:lang w:eastAsia="bg-BG"/>
              </w:rPr>
              <w:t xml:space="preserve"> го регистрира и генерира регистрационен номер.</w:t>
            </w:r>
          </w:p>
          <w:p w14:paraId="6665B8C4"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Системата изпраща уведомление до посочения електронен адрес на потребителя, че </w:t>
            </w:r>
            <w:r>
              <w:rPr>
                <w:rFonts w:ascii="Times New Roman" w:eastAsia="Times New Roman" w:hAnsi="Times New Roman" w:cs="Times New Roman"/>
                <w:sz w:val="24"/>
                <w:szCs w:val="24"/>
                <w:lang w:eastAsia="bg-BG"/>
              </w:rPr>
              <w:lastRenderedPageBreak/>
              <w:t>проектното предложение е регистрирано със съответния регистрационен номер.</w:t>
            </w:r>
          </w:p>
          <w:p w14:paraId="676E257F"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07A1615E" w14:textId="77777777" w:rsidR="009C0430" w:rsidRDefault="00B50ADD">
            <w:pPr>
              <w:spacing w:before="120" w:after="120"/>
              <w:jc w:val="both"/>
              <w:rPr>
                <w:rFonts w:ascii="Times New Roman" w:eastAsia="Times New Roman" w:hAnsi="Times New Roman" w:cs="Times New Roman"/>
                <w:sz w:val="24"/>
                <w:szCs w:val="24"/>
                <w:lang w:eastAsia="bg-BG"/>
              </w:rPr>
            </w:pPr>
            <w:hyperlink r:id="rId13" w:history="1">
              <w:r w:rsidR="00B27CD4">
                <w:rPr>
                  <w:rStyle w:val="afc"/>
                  <w:rFonts w:ascii="Times New Roman" w:eastAsia="Times New Roman" w:hAnsi="Times New Roman" w:cs="Times New Roman"/>
                  <w:sz w:val="24"/>
                  <w:szCs w:val="24"/>
                  <w:lang w:eastAsia="bg-BG"/>
                </w:rPr>
                <w:t>https://www.youtube.com/watch?v=-yFYWpsnT54</w:t>
              </w:r>
            </w:hyperlink>
          </w:p>
          <w:p w14:paraId="5520F9A9" w14:textId="77777777" w:rsidR="009C0430" w:rsidRDefault="00B50ADD">
            <w:pPr>
              <w:spacing w:before="120" w:after="120"/>
              <w:jc w:val="both"/>
              <w:rPr>
                <w:rFonts w:ascii="Times New Roman" w:eastAsia="Times New Roman" w:hAnsi="Times New Roman" w:cs="Times New Roman"/>
                <w:sz w:val="24"/>
                <w:szCs w:val="24"/>
                <w:lang w:eastAsia="bg-BG"/>
              </w:rPr>
            </w:pPr>
            <w:hyperlink r:id="rId14" w:history="1">
              <w:r w:rsidR="00B27CD4">
                <w:rPr>
                  <w:rStyle w:val="afc"/>
                  <w:rFonts w:ascii="Times New Roman" w:eastAsia="Times New Roman" w:hAnsi="Times New Roman" w:cs="Times New Roman"/>
                  <w:sz w:val="24"/>
                  <w:szCs w:val="24"/>
                  <w:lang w:eastAsia="bg-BG"/>
                </w:rPr>
                <w:t>https://www.youtube.com/watch?v=pX7nhlxmJAI</w:t>
              </w:r>
            </w:hyperlink>
          </w:p>
          <w:p w14:paraId="6D16B02B" w14:textId="77777777" w:rsidR="009C0430" w:rsidRDefault="00B50ADD">
            <w:pPr>
              <w:spacing w:before="120" w:after="120"/>
              <w:jc w:val="both"/>
              <w:rPr>
                <w:rFonts w:ascii="Times New Roman" w:eastAsia="Times New Roman" w:hAnsi="Times New Roman" w:cs="Times New Roman"/>
                <w:sz w:val="24"/>
                <w:szCs w:val="24"/>
                <w:lang w:eastAsia="bg-BG"/>
              </w:rPr>
            </w:pPr>
            <w:hyperlink r:id="rId15" w:history="1">
              <w:r w:rsidR="00B27CD4">
                <w:rPr>
                  <w:rStyle w:val="afc"/>
                  <w:rFonts w:ascii="Times New Roman" w:eastAsia="Times New Roman" w:hAnsi="Times New Roman" w:cs="Times New Roman"/>
                  <w:sz w:val="24"/>
                  <w:szCs w:val="24"/>
                  <w:lang w:eastAsia="bg-BG"/>
                </w:rPr>
                <w:t>https://www.youtube.com/watch?v=__rq_vJCi7A</w:t>
              </w:r>
            </w:hyperlink>
          </w:p>
          <w:p w14:paraId="1A71516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До приключване на работата на оценителната комисия кандидатът има възможност да оттегли своето проектно предложение като подаде писмено искане до МИГ на хартиен носител, подписано от поне един от представляващите кандидата и подпечатано, като това обстоятелство се отбелязва в ИСУН 2020 от потребител на системата със съответните права и оттегленото проектно предложение не се разглежда от оценителната комисия.</w:t>
            </w:r>
          </w:p>
          <w:p w14:paraId="084D29A6"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Формулярът за кандидатстване трябва да бъде попълнен внимателно и максимално ясно, така че да може да бъде оценен правилно. Всякакви грешки или несъответствия, допуснати при попълване на Формуляра за кандидатстване могат да доведат до отхвърляне на проектното предложение.</w:t>
            </w:r>
          </w:p>
          <w:p w14:paraId="13438C7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оценката на проектните предложения оценителната комисия може да изиска допълнителна пояснителна информация или документ от кандидатите. Комуникацията с кандидатите се осъществява посредством Информационната система за управление и наблюдение ИСУН 2020 чрез профила на кандидата и асоциирания към него електронен адрес на потребителя.</w:t>
            </w:r>
          </w:p>
          <w:p w14:paraId="21716051" w14:textId="77777777" w:rsidR="009C0430" w:rsidRDefault="00B27CD4">
            <w:pPr>
              <w:pStyle w:val="a0"/>
              <w:spacing w:before="120" w:after="120"/>
              <w:ind w:left="0"/>
              <w:contextualSpacing w:val="0"/>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 xml:space="preserve">Следва да се има предвид обаче, че Формулярът за кандидатстване не може да бъде изискван допълнително и </w:t>
            </w:r>
            <w:proofErr w:type="spellStart"/>
            <w:r>
              <w:rPr>
                <w:rFonts w:ascii="Times New Roman" w:eastAsia="Times New Roman" w:hAnsi="Times New Roman" w:cs="Times New Roman"/>
                <w:sz w:val="24"/>
                <w:szCs w:val="24"/>
                <w:lang w:eastAsia="bg-BG"/>
              </w:rPr>
              <w:t>непредставянето</w:t>
            </w:r>
            <w:proofErr w:type="spellEnd"/>
            <w:r>
              <w:rPr>
                <w:rFonts w:ascii="Times New Roman" w:eastAsia="Times New Roman" w:hAnsi="Times New Roman" w:cs="Times New Roman"/>
                <w:sz w:val="24"/>
                <w:szCs w:val="24"/>
                <w:lang w:eastAsia="bg-BG"/>
              </w:rPr>
              <w:t xml:space="preserve"> на някое от изисканите приложения може да доведе до автоматичното отхвърляне от оценителната комисия на проектното предложение.</w:t>
            </w:r>
          </w:p>
        </w:tc>
      </w:tr>
    </w:tbl>
    <w:p w14:paraId="3D193CD6" w14:textId="77777777" w:rsidR="009C0430" w:rsidRDefault="00B27CD4">
      <w:pPr>
        <w:pStyle w:val="1"/>
      </w:pPr>
      <w:bookmarkStart w:id="92" w:name="_Toc445385616"/>
      <w:bookmarkStart w:id="93" w:name="_Toc488319666"/>
      <w:r>
        <w:lastRenderedPageBreak/>
        <w:t>22. Списък на документите, които се подават на етап кандидатстване:</w:t>
      </w:r>
      <w:bookmarkEnd w:id="92"/>
      <w:bookmarkEnd w:id="93"/>
    </w:p>
    <w:tbl>
      <w:tblPr>
        <w:tblStyle w:val="afe"/>
        <w:tblW w:w="0" w:type="auto"/>
        <w:tblLook w:val="04A0" w:firstRow="1" w:lastRow="0" w:firstColumn="1" w:lastColumn="0" w:noHBand="0" w:noVBand="1"/>
      </w:tblPr>
      <w:tblGrid>
        <w:gridCol w:w="9496"/>
      </w:tblGrid>
      <w:tr w:rsidR="009C0430" w14:paraId="401A6402" w14:textId="77777777">
        <w:tc>
          <w:tcPr>
            <w:tcW w:w="9496" w:type="dxa"/>
          </w:tcPr>
          <w:p w14:paraId="0C3FA407" w14:textId="77777777" w:rsidR="009C0430" w:rsidRDefault="00B27CD4">
            <w:pPr>
              <w:tabs>
                <w:tab w:val="left" w:pos="4820"/>
              </w:tabs>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Освен Формуляра за кандидатстване, кандидатите трябва да представят следните документи, като ги прикачат в системата ИСУН 2020:</w:t>
            </w:r>
          </w:p>
          <w:p w14:paraId="0084628F"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w:t>
            </w:r>
            <w:r>
              <w:rPr>
                <w:rFonts w:ascii="Times New Roman" w:eastAsia="Times New Roman" w:hAnsi="Times New Roman" w:cs="Times New Roman"/>
                <w:sz w:val="24"/>
                <w:szCs w:val="24"/>
                <w:lang w:eastAsia="bg-BG"/>
              </w:rPr>
              <w:t xml:space="preserve">Автобиографияна ръководителя на проекта или </w:t>
            </w:r>
            <w:proofErr w:type="spellStart"/>
            <w:r>
              <w:rPr>
                <w:rFonts w:ascii="Times New Roman" w:eastAsia="Times New Roman" w:hAnsi="Times New Roman" w:cs="Times New Roman"/>
                <w:sz w:val="24"/>
                <w:szCs w:val="24"/>
                <w:lang w:eastAsia="bg-BG"/>
              </w:rPr>
              <w:t>на</w:t>
            </w:r>
            <w:r>
              <w:rPr>
                <w:rFonts w:ascii="Times New Roman" w:eastAsia="Times New Roman" w:hAnsi="Times New Roman" w:cs="Times New Roman"/>
                <w:bCs/>
                <w:snapToGrid w:val="0"/>
                <w:sz w:val="24"/>
                <w:szCs w:val="24"/>
              </w:rPr>
              <w:t>законния</w:t>
            </w:r>
            <w:proofErr w:type="spellEnd"/>
            <w:r>
              <w:rPr>
                <w:rFonts w:ascii="Times New Roman" w:eastAsia="Times New Roman" w:hAnsi="Times New Roman" w:cs="Times New Roman"/>
                <w:bCs/>
                <w:snapToGrid w:val="0"/>
                <w:sz w:val="24"/>
                <w:szCs w:val="24"/>
              </w:rPr>
              <w:t xml:space="preserve"> представител на кандидата</w:t>
            </w:r>
            <w:r>
              <w:rPr>
                <w:rFonts w:ascii="Times New Roman" w:eastAsia="Times New Roman" w:hAnsi="Times New Roman" w:cs="Times New Roman"/>
                <w:bCs/>
                <w:snapToGrid w:val="0"/>
                <w:position w:val="6"/>
                <w:sz w:val="24"/>
                <w:szCs w:val="24"/>
                <w:lang w:val="en-GB"/>
              </w:rPr>
              <w:footnoteReference w:id="13"/>
            </w:r>
            <w:r>
              <w:rPr>
                <w:rFonts w:ascii="Times New Roman" w:eastAsia="Times New Roman" w:hAnsi="Times New Roman" w:cs="Times New Roman"/>
                <w:bCs/>
                <w:snapToGrid w:val="0"/>
                <w:sz w:val="24"/>
                <w:szCs w:val="24"/>
              </w:rPr>
              <w:t xml:space="preserve"> (управител, прокурист и др.)/собственика на капитала на организацията</w:t>
            </w:r>
            <w:r>
              <w:rPr>
                <w:rFonts w:ascii="Times New Roman" w:eastAsia="Times New Roman" w:hAnsi="Times New Roman" w:cs="Times New Roman"/>
                <w:sz w:val="24"/>
                <w:szCs w:val="24"/>
                <w:lang w:eastAsia="bg-BG"/>
              </w:rPr>
              <w:t>- попълнена по образец(</w:t>
            </w:r>
            <w:r>
              <w:rPr>
                <w:rFonts w:ascii="Times New Roman" w:eastAsia="Times New Roman" w:hAnsi="Times New Roman" w:cs="Times New Roman"/>
                <w:b/>
                <w:sz w:val="24"/>
                <w:szCs w:val="24"/>
                <w:lang w:eastAsia="bg-BG"/>
              </w:rPr>
              <w:t>Приложение І</w:t>
            </w:r>
            <w:r>
              <w:rPr>
                <w:rFonts w:ascii="Times New Roman" w:eastAsia="Times New Roman" w:hAnsi="Times New Roman" w:cs="Times New Roman"/>
                <w:sz w:val="24"/>
                <w:szCs w:val="24"/>
                <w:lang w:eastAsia="bg-BG"/>
              </w:rPr>
              <w:t>) към Условията за кандидатстване, сканирана и прикачена в системата.</w:t>
            </w:r>
          </w:p>
          <w:p w14:paraId="71C5BC65"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2.Приложение ІІ: Декларация на кандидата/партньора</w:t>
            </w:r>
            <w:r>
              <w:rPr>
                <w:rFonts w:ascii="Times New Roman" w:eastAsia="Times New Roman" w:hAnsi="Times New Roman" w:cs="Times New Roman"/>
                <w:sz w:val="24"/>
                <w:szCs w:val="24"/>
                <w:lang w:eastAsia="bg-BG"/>
              </w:rPr>
              <w:t xml:space="preserve"> – попълнена по </w:t>
            </w:r>
            <w:proofErr w:type="spellStart"/>
            <w:r>
              <w:rPr>
                <w:rFonts w:ascii="Times New Roman" w:eastAsia="Times New Roman" w:hAnsi="Times New Roman" w:cs="Times New Roman"/>
                <w:sz w:val="24"/>
                <w:szCs w:val="24"/>
                <w:lang w:eastAsia="bg-BG"/>
              </w:rPr>
              <w:t>образец.Попълва</w:t>
            </w:r>
            <w:proofErr w:type="spellEnd"/>
            <w:r>
              <w:rPr>
                <w:rFonts w:ascii="Times New Roman" w:eastAsia="Times New Roman" w:hAnsi="Times New Roman" w:cs="Times New Roman"/>
                <w:sz w:val="24"/>
                <w:szCs w:val="24"/>
                <w:lang w:eastAsia="bg-BG"/>
              </w:rPr>
              <w:t xml:space="preserve"> се от всички лица, които са овластени да представляват кандидата/партньора, независимо дали </w:t>
            </w:r>
            <w:proofErr w:type="spellStart"/>
            <w:r>
              <w:rPr>
                <w:rFonts w:ascii="Times New Roman" w:eastAsia="Times New Roman" w:hAnsi="Times New Roman" w:cs="Times New Roman"/>
                <w:sz w:val="24"/>
                <w:szCs w:val="24"/>
                <w:lang w:eastAsia="bg-BG"/>
              </w:rPr>
              <w:t>гo</w:t>
            </w:r>
            <w:proofErr w:type="spellEnd"/>
            <w:r>
              <w:rPr>
                <w:rFonts w:ascii="Times New Roman" w:eastAsia="Times New Roman" w:hAnsi="Times New Roman" w:cs="Times New Roman"/>
                <w:sz w:val="24"/>
                <w:szCs w:val="24"/>
                <w:lang w:eastAsia="bg-BG"/>
              </w:rPr>
              <w:t xml:space="preserve"> представляват заедно и/или поотделно, и са вписани в търговския регистър и  регистъра на юридическите лица с нестопанска цел, или </w:t>
            </w:r>
            <w:r>
              <w:rPr>
                <w:rFonts w:ascii="Times New Roman" w:eastAsia="Times New Roman" w:hAnsi="Times New Roman" w:cs="Times New Roman"/>
                <w:sz w:val="24"/>
                <w:szCs w:val="24"/>
                <w:lang w:eastAsia="bg-BG"/>
              </w:rPr>
              <w:lastRenderedPageBreak/>
              <w:t xml:space="preserve">са определени като такива в учредителен акт, когато тези обстоятелства не подлежат на вписване. </w:t>
            </w:r>
          </w:p>
          <w:p w14:paraId="49D97497"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Декларацията/</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се подписва/т от всяко едно от лицата на хартиен носител, сканира/т се и се прикачва/т в ИСУН 2020.</w:t>
            </w:r>
          </w:p>
          <w:p w14:paraId="365A9AA6"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Декларация на кандидата/партньора не може да се подписва от упълномощени лица, тъй като с нея се декларират данни, които се декларират в лично качество или съответно данни за съответното юридическо лице, като за верността им се носи наказателна отговорност, която също е лична</w:t>
            </w:r>
          </w:p>
          <w:p w14:paraId="4CEBAB52" w14:textId="77777777" w:rsidR="009C0430" w:rsidRDefault="00B27CD4">
            <w:pPr>
              <w:tabs>
                <w:tab w:val="left" w:pos="284"/>
              </w:tabs>
              <w:spacing w:before="100" w:beforeAutospacing="1" w:after="120"/>
              <w:ind w:left="284"/>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2.1. (Приложение ІІ-1)Декларация на кандидата/партньора-</w:t>
            </w:r>
            <w:r>
              <w:rPr>
                <w:rFonts w:ascii="Times New Roman" w:eastAsia="Times New Roman" w:hAnsi="Times New Roman" w:cs="Times New Roman"/>
                <w:i/>
                <w:sz w:val="24"/>
                <w:szCs w:val="24"/>
                <w:lang w:eastAsia="bg-BG"/>
              </w:rPr>
              <w:t>(само за кандидати/партньори общини)</w:t>
            </w:r>
            <w:r>
              <w:rPr>
                <w:rFonts w:ascii="Times New Roman" w:eastAsia="Times New Roman" w:hAnsi="Times New Roman" w:cs="Times New Roman"/>
                <w:sz w:val="24"/>
                <w:szCs w:val="24"/>
                <w:lang w:eastAsia="bg-BG"/>
              </w:rPr>
              <w:t xml:space="preserve"> – попълнена по образец към Условията за кандидатстване – подписва се на хартия, сканира се и се прикачва в ИСУН 2020.</w:t>
            </w:r>
          </w:p>
          <w:p w14:paraId="08183A8A" w14:textId="77777777" w:rsidR="009C0430" w:rsidRDefault="00B27CD4">
            <w:pPr>
              <w:pStyle w:val="a0"/>
              <w:tabs>
                <w:tab w:val="left" w:pos="4820"/>
              </w:tabs>
              <w:spacing w:before="120" w:after="120"/>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3. Приложение І</w:t>
            </w:r>
            <w:r>
              <w:rPr>
                <w:rFonts w:ascii="Times New Roman" w:eastAsia="Times New Roman" w:hAnsi="Times New Roman" w:cs="Times New Roman"/>
                <w:b/>
                <w:sz w:val="24"/>
                <w:szCs w:val="24"/>
                <w:lang w:val="en-US" w:eastAsia="bg-BG"/>
              </w:rPr>
              <w:t>II</w:t>
            </w:r>
            <w:r>
              <w:rPr>
                <w:rFonts w:ascii="Times New Roman" w:eastAsia="Times New Roman" w:hAnsi="Times New Roman" w:cs="Times New Roman"/>
                <w:sz w:val="24"/>
                <w:szCs w:val="24"/>
                <w:lang w:eastAsia="bg-BG"/>
              </w:rPr>
              <w:t xml:space="preserve">: Декларация за минимални и държавни помощи – попълнена по </w:t>
            </w:r>
            <w:proofErr w:type="spellStart"/>
            <w:r>
              <w:rPr>
                <w:rFonts w:ascii="Times New Roman" w:eastAsia="Times New Roman" w:hAnsi="Times New Roman" w:cs="Times New Roman"/>
                <w:sz w:val="24"/>
                <w:szCs w:val="24"/>
                <w:lang w:eastAsia="bg-BG"/>
              </w:rPr>
              <w:t>образец,подписва</w:t>
            </w:r>
            <w:proofErr w:type="spellEnd"/>
            <w:r>
              <w:rPr>
                <w:rFonts w:ascii="Times New Roman" w:eastAsia="Times New Roman" w:hAnsi="Times New Roman" w:cs="Times New Roman"/>
                <w:sz w:val="24"/>
                <w:szCs w:val="24"/>
                <w:lang w:eastAsia="bg-BG"/>
              </w:rPr>
              <w:t xml:space="preserve"> се от поне едно от представляващите организацията </w:t>
            </w:r>
            <w:proofErr w:type="spellStart"/>
            <w:r>
              <w:rPr>
                <w:rFonts w:ascii="Times New Roman" w:eastAsia="Times New Roman" w:hAnsi="Times New Roman" w:cs="Times New Roman"/>
                <w:sz w:val="24"/>
                <w:szCs w:val="24"/>
                <w:lang w:eastAsia="bg-BG"/>
              </w:rPr>
              <w:t>лица,вписани</w:t>
            </w:r>
            <w:proofErr w:type="spellEnd"/>
            <w:r>
              <w:rPr>
                <w:rFonts w:ascii="Times New Roman" w:eastAsia="Times New Roman" w:hAnsi="Times New Roman" w:cs="Times New Roman"/>
                <w:sz w:val="24"/>
                <w:szCs w:val="24"/>
                <w:lang w:eastAsia="bg-BG"/>
              </w:rPr>
              <w:t xml:space="preserve"> като представляващи предприятието в търговския регистър и РЮЛНЦ или определени като такива в учредителен акт, когато тези обстоятелства не подлежат на вписване, сканира се и се прикачва в ИСУН 2020 (ако е приложимо).</w:t>
            </w:r>
          </w:p>
          <w:p w14:paraId="248A7A21" w14:textId="77777777" w:rsidR="009C0430" w:rsidRDefault="009C0430">
            <w:pPr>
              <w:tabs>
                <w:tab w:val="left" w:pos="4820"/>
              </w:tabs>
              <w:spacing w:before="120"/>
              <w:ind w:left="357"/>
              <w:jc w:val="both"/>
              <w:rPr>
                <w:rFonts w:ascii="Times New Roman" w:eastAsia="Times New Roman" w:hAnsi="Times New Roman" w:cs="Times New Roman"/>
                <w:i/>
                <w:sz w:val="24"/>
                <w:szCs w:val="24"/>
                <w:lang w:eastAsia="bg-BG"/>
              </w:rPr>
            </w:pPr>
          </w:p>
          <w:p w14:paraId="6F7C0E17"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 xml:space="preserve"> Декларация за предоставяне на данни от НСИ- попълнена по образец (</w:t>
            </w:r>
            <w:bookmarkStart w:id="94" w:name="_Hlk498594165"/>
            <w:r>
              <w:rPr>
                <w:rFonts w:ascii="Times New Roman" w:eastAsia="Times New Roman" w:hAnsi="Times New Roman" w:cs="Times New Roman"/>
                <w:sz w:val="24"/>
                <w:szCs w:val="24"/>
                <w:lang w:eastAsia="bg-BG"/>
              </w:rPr>
              <w:t>Приложение IV</w:t>
            </w:r>
            <w:bookmarkEnd w:id="94"/>
            <w:r>
              <w:rPr>
                <w:rFonts w:ascii="Times New Roman" w:eastAsia="Times New Roman" w:hAnsi="Times New Roman" w:cs="Times New Roman"/>
                <w:sz w:val="24"/>
                <w:szCs w:val="24"/>
                <w:lang w:eastAsia="bg-BG"/>
              </w:rPr>
              <w:t>) към Условията за кандидатстване, подписва се на хартия от поне едно от представляващите организацията лица, сканира се и се прикачва в ИСУН;</w:t>
            </w:r>
          </w:p>
          <w:p w14:paraId="05357ADA"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5.</w:t>
            </w:r>
            <w:r>
              <w:rPr>
                <w:rFonts w:ascii="Times New Roman" w:eastAsia="Times New Roman" w:hAnsi="Times New Roman" w:cs="Times New Roman"/>
                <w:sz w:val="24"/>
                <w:szCs w:val="24"/>
                <w:lang w:eastAsia="bg-BG"/>
              </w:rPr>
              <w:t xml:space="preserve"> Удостоверение за актуално състояние на кандидата, издадено не по-рано от 3 месеца преди крайната дата на кандидатстване, сканирано и прикачено в ИСУН. В случай че кандидатът е регистриран по Закона за Търговския регистър и регистъра на юридическите лица с нестопанска цел, това обстоятелство ще се проверява по служебен път, съгласно чл. 23, ал. 6 от Закона за Търговския регистър и регистъра на юридическите лица с нестопанска цел</w:t>
            </w:r>
            <w:r>
              <w:rPr>
                <w:rFonts w:ascii="Times New Roman" w:eastAsia="Times New Roman" w:hAnsi="Times New Roman" w:cs="Times New Roman"/>
                <w:i/>
                <w:sz w:val="24"/>
                <w:szCs w:val="24"/>
                <w:lang w:eastAsia="bg-BG"/>
              </w:rPr>
              <w:t>(не е приложимо за общини)</w:t>
            </w:r>
            <w:r>
              <w:rPr>
                <w:rFonts w:ascii="Times New Roman" w:eastAsia="Times New Roman" w:hAnsi="Times New Roman" w:cs="Times New Roman"/>
                <w:sz w:val="24"/>
                <w:szCs w:val="24"/>
                <w:lang w:eastAsia="bg-BG"/>
              </w:rPr>
              <w:t>;</w:t>
            </w:r>
          </w:p>
          <w:p w14:paraId="6FB69F49" w14:textId="77777777" w:rsidR="009C0430" w:rsidRDefault="00B27CD4">
            <w:pPr>
              <w:pStyle w:val="Default"/>
              <w:jc w:val="both"/>
            </w:pPr>
            <w:r>
              <w:rPr>
                <w:b/>
              </w:rPr>
              <w:t>6.</w:t>
            </w:r>
            <w:r>
              <w:t xml:space="preserve">Счетоводен баланс </w:t>
            </w:r>
            <w:proofErr w:type="spellStart"/>
            <w:r>
              <w:t>затекущатафинансова</w:t>
            </w:r>
            <w:proofErr w:type="spellEnd"/>
            <w:r>
              <w:t xml:space="preserve"> година(индивидуален) - сканирани и прикачени в </w:t>
            </w:r>
            <w:proofErr w:type="spellStart"/>
            <w:r>
              <w:t>ИСУН.Приложимо</w:t>
            </w:r>
            <w:proofErr w:type="spellEnd"/>
            <w:r>
              <w:t xml:space="preserve"> за кандидати, които не са подали към НСИ финансови отчети за предходната финансова година.</w:t>
            </w:r>
          </w:p>
          <w:p w14:paraId="4C09A629" w14:textId="77777777" w:rsidR="009C0430" w:rsidRDefault="00B27CD4">
            <w:pPr>
              <w:tabs>
                <w:tab w:val="left" w:pos="-284"/>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 Във финансовите отчети се посочват имената на лицата, които са го подписали. </w:t>
            </w:r>
          </w:p>
          <w:p w14:paraId="29384970" w14:textId="77777777" w:rsidR="009C0430" w:rsidRDefault="00B27CD4">
            <w:pPr>
              <w:tabs>
                <w:tab w:val="left" w:pos="-284"/>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сканирани и прикачени в ИСУН.</w:t>
            </w:r>
          </w:p>
          <w:p w14:paraId="6F661FA8" w14:textId="77777777" w:rsidR="009C0430" w:rsidRDefault="00B27CD4">
            <w:pPr>
              <w:tabs>
                <w:tab w:val="left" w:pos="-284"/>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Когато кандидатът е община се извършва служебна проверка от оценителната комисия в Закона за държавния бюджет за текущата година.</w:t>
            </w:r>
          </w:p>
          <w:p w14:paraId="3BD9654B" w14:textId="77777777" w:rsidR="009C0430" w:rsidRDefault="009C0430">
            <w:pPr>
              <w:tabs>
                <w:tab w:val="left" w:pos="-284"/>
              </w:tabs>
              <w:spacing w:before="120" w:after="120"/>
              <w:jc w:val="both"/>
              <w:rPr>
                <w:rFonts w:ascii="Times New Roman" w:eastAsia="Times New Roman" w:hAnsi="Times New Roman" w:cs="Times New Roman"/>
                <w:sz w:val="24"/>
                <w:szCs w:val="24"/>
                <w:lang w:eastAsia="bg-BG"/>
              </w:rPr>
            </w:pPr>
          </w:p>
          <w:p w14:paraId="1E0FD26D" w14:textId="77777777" w:rsidR="009C0430" w:rsidRDefault="00B27CD4">
            <w:pPr>
              <w:pStyle w:val="a0"/>
              <w:numPr>
                <w:ilvl w:val="0"/>
                <w:numId w:val="19"/>
              </w:numPr>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600873D1" w14:textId="77777777" w:rsidR="009C0430" w:rsidRDefault="009C0430">
            <w:pPr>
              <w:tabs>
                <w:tab w:val="left" w:pos="-284"/>
              </w:tabs>
              <w:spacing w:before="120" w:after="120"/>
              <w:jc w:val="both"/>
              <w:rPr>
                <w:rFonts w:ascii="Times New Roman" w:eastAsia="Times New Roman" w:hAnsi="Times New Roman" w:cs="Times New Roman"/>
                <w:sz w:val="24"/>
                <w:szCs w:val="24"/>
                <w:lang w:eastAsia="bg-BG"/>
              </w:rPr>
            </w:pPr>
          </w:p>
          <w:p w14:paraId="3F4FF90F"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proofErr w:type="spellStart"/>
            <w:r>
              <w:rPr>
                <w:rFonts w:ascii="Times New Roman" w:eastAsia="Times New Roman" w:hAnsi="Times New Roman" w:cs="Times New Roman"/>
                <w:sz w:val="24"/>
                <w:szCs w:val="24"/>
                <w:lang w:eastAsia="bg-BG"/>
              </w:rPr>
              <w:t>Преписот</w:t>
            </w:r>
            <w:proofErr w:type="spellEnd"/>
            <w:r>
              <w:rPr>
                <w:rFonts w:ascii="Times New Roman" w:eastAsia="Times New Roman" w:hAnsi="Times New Roman" w:cs="Times New Roman"/>
                <w:sz w:val="24"/>
                <w:szCs w:val="24"/>
                <w:lang w:eastAsia="bg-BG"/>
              </w:rPr>
              <w:t xml:space="preserve"> Решение на ОбС, за подаване на проектно предложение по конкретната процедура и одобряване на партньора/</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по проекта, съгл. ЗМСМА, когато кандидат е община и има партньор/и по проекта, сканирано и прикачено в ИСУН(ако е приложимо) .</w:t>
            </w:r>
          </w:p>
          <w:p w14:paraId="7A129002" w14:textId="77777777" w:rsidR="009C0430" w:rsidRDefault="00B27CD4">
            <w:pPr>
              <w:tabs>
                <w:tab w:val="left" w:pos="-284"/>
              </w:tabs>
              <w:spacing w:before="4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8.</w:t>
            </w:r>
            <w:r>
              <w:rPr>
                <w:rFonts w:ascii="Times New Roman" w:eastAsia="Times New Roman" w:hAnsi="Times New Roman" w:cs="Times New Roman"/>
                <w:sz w:val="24"/>
                <w:szCs w:val="24"/>
                <w:lang w:eastAsia="bg-BG"/>
              </w:rPr>
              <w:t xml:space="preserve"> Нотариално заверено пълномощно (заповед от кмет на община) за упълномощаване на лице, представляващо кандидата  във връзка с подаване на проектното предложение и подписване на формуляра (ако е приложимо) – сканирано и прикачено в ИСУН 2020.</w:t>
            </w:r>
          </w:p>
          <w:p w14:paraId="352B9B95" w14:textId="77777777" w:rsidR="009C0430" w:rsidRDefault="00B27CD4">
            <w:pPr>
              <w:tabs>
                <w:tab w:val="left" w:pos="-284"/>
              </w:tabs>
              <w:spacing w:before="4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случаите, когато една организация се представлява заедно от няколко лица, декларациите </w:t>
            </w:r>
            <w:proofErr w:type="spellStart"/>
            <w:r>
              <w:rPr>
                <w:rFonts w:ascii="Times New Roman" w:eastAsia="Times New Roman" w:hAnsi="Times New Roman" w:cs="Times New Roman"/>
                <w:sz w:val="24"/>
                <w:szCs w:val="24"/>
                <w:lang w:eastAsia="bg-BG"/>
              </w:rPr>
              <w:t>сe</w:t>
            </w:r>
            <w:proofErr w:type="spellEnd"/>
            <w:r>
              <w:rPr>
                <w:rFonts w:ascii="Times New Roman" w:eastAsia="Times New Roman" w:hAnsi="Times New Roman" w:cs="Times New Roman"/>
                <w:sz w:val="24"/>
                <w:szCs w:val="24"/>
                <w:lang w:eastAsia="bg-BG"/>
              </w:rPr>
              <w:t xml:space="preserve"> подписват от всички.</w:t>
            </w:r>
          </w:p>
          <w:p w14:paraId="64FC6A89" w14:textId="77777777" w:rsidR="009C0430" w:rsidRDefault="00B27CD4">
            <w:pPr>
              <w:tabs>
                <w:tab w:val="left" w:pos="-284"/>
              </w:tabs>
              <w:spacing w:before="4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9. БЮДЖЕТ (Приложение V) с попълнен вариант на бюджета в зависимост от посоченото в т.14.2 и 14.3 от настоящите Условия за кандидатстване </w:t>
            </w:r>
          </w:p>
          <w:p w14:paraId="428FE794" w14:textId="77777777" w:rsidR="009C0430" w:rsidRDefault="00B27CD4">
            <w:pPr>
              <w:tabs>
                <w:tab w:val="left" w:pos="-284"/>
              </w:tabs>
              <w:spacing w:before="4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 Документи, доказващи стойността на заложените разходи в </w:t>
            </w:r>
            <w:proofErr w:type="spellStart"/>
            <w:r>
              <w:rPr>
                <w:rFonts w:ascii="Times New Roman" w:eastAsia="Times New Roman" w:hAnsi="Times New Roman" w:cs="Times New Roman"/>
                <w:sz w:val="24"/>
                <w:szCs w:val="24"/>
                <w:lang w:eastAsia="bg-BG"/>
              </w:rPr>
              <w:t>проeктобюджета</w:t>
            </w:r>
            <w:proofErr w:type="spellEnd"/>
            <w:r>
              <w:rPr>
                <w:rFonts w:ascii="Times New Roman" w:eastAsia="Times New Roman" w:hAnsi="Times New Roman" w:cs="Times New Roman"/>
                <w:sz w:val="24"/>
                <w:szCs w:val="24"/>
                <w:lang w:eastAsia="bg-BG"/>
              </w:rPr>
              <w:t xml:space="preserve">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w:t>
            </w:r>
          </w:p>
          <w:p w14:paraId="25B4027E" w14:textId="77777777" w:rsidR="009C0430" w:rsidRDefault="00B27CD4">
            <w:pPr>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Партньорът/те по процедурата за безвъзмездна финансова помощ трябва да представят следните документи, като ги прикачат в системата ИСУН 2020:</w:t>
            </w:r>
          </w:p>
          <w:p w14:paraId="05D05A91"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1.Приложение ІІ: Декларация на кандидата/партньора</w:t>
            </w:r>
            <w:r>
              <w:rPr>
                <w:rFonts w:ascii="Times New Roman" w:eastAsia="Times New Roman" w:hAnsi="Times New Roman" w:cs="Times New Roman"/>
                <w:sz w:val="24"/>
                <w:szCs w:val="24"/>
                <w:lang w:eastAsia="bg-BG"/>
              </w:rPr>
              <w:t xml:space="preserve"> – попълнена по </w:t>
            </w:r>
            <w:proofErr w:type="spellStart"/>
            <w:r>
              <w:rPr>
                <w:rFonts w:ascii="Times New Roman" w:eastAsia="Times New Roman" w:hAnsi="Times New Roman" w:cs="Times New Roman"/>
                <w:sz w:val="24"/>
                <w:szCs w:val="24"/>
                <w:lang w:eastAsia="bg-BG"/>
              </w:rPr>
              <w:t>образец.Попълва</w:t>
            </w:r>
            <w:proofErr w:type="spellEnd"/>
            <w:r>
              <w:rPr>
                <w:rFonts w:ascii="Times New Roman" w:eastAsia="Times New Roman" w:hAnsi="Times New Roman" w:cs="Times New Roman"/>
                <w:sz w:val="24"/>
                <w:szCs w:val="24"/>
                <w:lang w:eastAsia="bg-BG"/>
              </w:rPr>
              <w:t xml:space="preserve"> се от всички лица, които са овластени да представляват кандидата/партньора, независимо дали </w:t>
            </w:r>
            <w:proofErr w:type="spellStart"/>
            <w:r>
              <w:rPr>
                <w:rFonts w:ascii="Times New Roman" w:eastAsia="Times New Roman" w:hAnsi="Times New Roman" w:cs="Times New Roman"/>
                <w:sz w:val="24"/>
                <w:szCs w:val="24"/>
                <w:lang w:eastAsia="bg-BG"/>
              </w:rPr>
              <w:t>гo</w:t>
            </w:r>
            <w:proofErr w:type="spellEnd"/>
            <w:r>
              <w:rPr>
                <w:rFonts w:ascii="Times New Roman" w:eastAsia="Times New Roman" w:hAnsi="Times New Roman" w:cs="Times New Roman"/>
                <w:sz w:val="24"/>
                <w:szCs w:val="24"/>
                <w:lang w:eastAsia="bg-BG"/>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252F2865"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Декларацията/</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се подписва/т от всяко едно от лицата на хартиен носител, сканира/т се и се прикачва/т в ИСУН 2020.</w:t>
            </w:r>
          </w:p>
          <w:p w14:paraId="1D2D7B9E"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Декларация на кандидата/партньора не може да се подписва от упълномощени лица, тъй като с нея се декларират данни, които се декларират в лично качество или съответно данни за съответното юридическо лице, като за верността им се носи наказателна отговорност, която също е лична.</w:t>
            </w:r>
          </w:p>
          <w:p w14:paraId="74EC1677" w14:textId="77777777" w:rsidR="009C0430" w:rsidRDefault="00B27CD4">
            <w:pPr>
              <w:tabs>
                <w:tab w:val="left" w:pos="284"/>
              </w:tabs>
              <w:spacing w:before="100" w:beforeAutospacing="1" w:after="120"/>
              <w:ind w:left="284"/>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xml:space="preserve">1.1. (Приложение ІІ-1)Декларация на кандидата/партньора </w:t>
            </w:r>
            <w:r>
              <w:rPr>
                <w:rFonts w:ascii="Times New Roman" w:eastAsia="Times New Roman" w:hAnsi="Times New Roman" w:cs="Times New Roman"/>
                <w:i/>
                <w:sz w:val="24"/>
                <w:szCs w:val="24"/>
                <w:lang w:eastAsia="bg-BG"/>
              </w:rPr>
              <w:t>(само за партньори общини)</w:t>
            </w:r>
            <w:r>
              <w:rPr>
                <w:rFonts w:ascii="Times New Roman" w:eastAsia="Times New Roman" w:hAnsi="Times New Roman" w:cs="Times New Roman"/>
                <w:sz w:val="24"/>
                <w:szCs w:val="24"/>
                <w:lang w:eastAsia="bg-BG"/>
              </w:rPr>
              <w:t xml:space="preserve"> – попълнена по образец към Условията за кандидатстване – подписва се на хартия, сканира се и се прикачва в ИСУН 2020.</w:t>
            </w:r>
          </w:p>
          <w:p w14:paraId="2026CAAB"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2.Приложение І</w:t>
            </w:r>
            <w:r>
              <w:rPr>
                <w:rFonts w:ascii="Times New Roman" w:eastAsia="Times New Roman" w:hAnsi="Times New Roman" w:cs="Times New Roman"/>
                <w:b/>
                <w:sz w:val="24"/>
                <w:szCs w:val="24"/>
                <w:lang w:val="en-US" w:eastAsia="bg-BG"/>
              </w:rPr>
              <w:t>II</w:t>
            </w:r>
            <w:r>
              <w:rPr>
                <w:rFonts w:ascii="Times New Roman" w:eastAsia="Times New Roman" w:hAnsi="Times New Roman" w:cs="Times New Roman"/>
                <w:sz w:val="24"/>
                <w:szCs w:val="24"/>
                <w:lang w:eastAsia="bg-BG"/>
              </w:rPr>
              <w:t xml:space="preserve">: Декларация за минимални и държавни помощи – попълнена по образец, </w:t>
            </w:r>
            <w:r>
              <w:rPr>
                <w:rFonts w:ascii="Times New Roman" w:eastAsia="Times New Roman" w:hAnsi="Times New Roman" w:cs="Times New Roman"/>
                <w:color w:val="000000"/>
                <w:sz w:val="24"/>
                <w:szCs w:val="24"/>
                <w:lang w:eastAsia="bg-BG"/>
              </w:rPr>
              <w:t xml:space="preserve">подписва се от поне едно от представляващите организацията лица, вписани като представляващи организацията-партньор в търговския </w:t>
            </w:r>
            <w:proofErr w:type="spellStart"/>
            <w:r>
              <w:rPr>
                <w:rFonts w:ascii="Times New Roman" w:eastAsia="Times New Roman" w:hAnsi="Times New Roman" w:cs="Times New Roman"/>
                <w:color w:val="000000"/>
                <w:sz w:val="24"/>
                <w:szCs w:val="24"/>
                <w:lang w:eastAsia="bg-BG"/>
              </w:rPr>
              <w:t>регистъри</w:t>
            </w:r>
            <w:proofErr w:type="spellEnd"/>
            <w:r>
              <w:rPr>
                <w:rFonts w:ascii="Times New Roman" w:eastAsia="Times New Roman" w:hAnsi="Times New Roman" w:cs="Times New Roman"/>
                <w:color w:val="000000"/>
                <w:sz w:val="24"/>
                <w:szCs w:val="24"/>
                <w:lang w:eastAsia="bg-BG"/>
              </w:rPr>
              <w:t xml:space="preserve"> регистъра на юридическите лица с нестопанска цел или определени като такива в учредителен акт, когато тези обстоятелства не подлежат на вписване, сканира се и се прикачва в ИСУН </w:t>
            </w:r>
            <w:r>
              <w:rPr>
                <w:rFonts w:ascii="Times New Roman" w:eastAsia="Times New Roman" w:hAnsi="Times New Roman" w:cs="Times New Roman"/>
                <w:color w:val="000000"/>
                <w:sz w:val="24"/>
                <w:szCs w:val="24"/>
                <w:lang w:eastAsia="bg-BG"/>
              </w:rPr>
              <w:lastRenderedPageBreak/>
              <w:t>2020 (ако е приложимо)</w:t>
            </w:r>
            <w:r>
              <w:rPr>
                <w:rFonts w:ascii="Times New Roman" w:eastAsia="Times New Roman" w:hAnsi="Times New Roman" w:cs="Times New Roman"/>
                <w:sz w:val="24"/>
                <w:szCs w:val="24"/>
                <w:lang w:eastAsia="bg-BG"/>
              </w:rPr>
              <w:t>.</w:t>
            </w:r>
          </w:p>
          <w:p w14:paraId="0B39CA48" w14:textId="77777777" w:rsidR="009C0430" w:rsidRDefault="009C0430">
            <w:pPr>
              <w:tabs>
                <w:tab w:val="left" w:pos="4820"/>
              </w:tabs>
              <w:spacing w:before="120" w:after="120"/>
              <w:ind w:left="357"/>
              <w:jc w:val="both"/>
              <w:rPr>
                <w:rFonts w:ascii="Times New Roman" w:eastAsia="Times New Roman" w:hAnsi="Times New Roman" w:cs="Times New Roman"/>
                <w:i/>
                <w:sz w:val="24"/>
                <w:szCs w:val="24"/>
                <w:lang w:eastAsia="bg-BG"/>
              </w:rPr>
            </w:pPr>
          </w:p>
          <w:p w14:paraId="4311DC8F"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xml:space="preserve">3.Приложение </w:t>
            </w:r>
            <w:r>
              <w:rPr>
                <w:rFonts w:ascii="Times New Roman" w:eastAsia="Times New Roman" w:hAnsi="Times New Roman" w:cs="Times New Roman"/>
                <w:b/>
                <w:sz w:val="24"/>
                <w:szCs w:val="24"/>
                <w:lang w:val="en-US" w:eastAsia="bg-BG"/>
              </w:rPr>
              <w:t>I</w:t>
            </w:r>
            <w:r>
              <w:rPr>
                <w:rFonts w:ascii="Times New Roman" w:eastAsia="Times New Roman" w:hAnsi="Times New Roman" w:cs="Times New Roman"/>
                <w:b/>
                <w:sz w:val="24"/>
                <w:szCs w:val="24"/>
                <w:lang w:eastAsia="bg-BG"/>
              </w:rPr>
              <w:t>V</w:t>
            </w:r>
            <w:r>
              <w:rPr>
                <w:rFonts w:ascii="Times New Roman" w:eastAsia="Times New Roman" w:hAnsi="Times New Roman" w:cs="Times New Roman"/>
                <w:sz w:val="24"/>
                <w:szCs w:val="24"/>
                <w:lang w:eastAsia="bg-BG"/>
              </w:rPr>
              <w:t>- Декларация за предоставяне на данни от НСИ- попълнена по образец към Условията за кандидатстване, подписва се на хартия от поне едно от представляващите организацията лица, сканира се и се прикачва в ИСУН;</w:t>
            </w:r>
          </w:p>
          <w:p w14:paraId="1F4740D4"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 xml:space="preserve">Удостоверение за актуално състояние на партньора, издадено не по-рано от 3 месеца преди крайната дата на кандидатстване, сканирано и прикачено в ИСУН. В случай, че партньорът е регистриран по Закона за Търговския </w:t>
            </w:r>
            <w:proofErr w:type="spellStart"/>
            <w:r>
              <w:rPr>
                <w:rFonts w:ascii="Times New Roman" w:eastAsia="Times New Roman" w:hAnsi="Times New Roman" w:cs="Times New Roman"/>
                <w:sz w:val="24"/>
                <w:szCs w:val="24"/>
                <w:lang w:eastAsia="bg-BG"/>
              </w:rPr>
              <w:t>регистъри</w:t>
            </w:r>
            <w:proofErr w:type="spellEnd"/>
            <w:r>
              <w:rPr>
                <w:rFonts w:ascii="Times New Roman" w:eastAsia="Times New Roman" w:hAnsi="Times New Roman" w:cs="Times New Roman"/>
                <w:sz w:val="24"/>
                <w:szCs w:val="24"/>
                <w:lang w:eastAsia="bg-BG"/>
              </w:rPr>
              <w:t xml:space="preserve"> регистъра на юридическите лица с нестопанска цел, това обстоятелство ще се проверява по служебен път, съгласно чл. 23, ал. 6 от Закона за Търговския </w:t>
            </w:r>
            <w:proofErr w:type="spellStart"/>
            <w:r>
              <w:rPr>
                <w:rFonts w:ascii="Times New Roman" w:eastAsia="Times New Roman" w:hAnsi="Times New Roman" w:cs="Times New Roman"/>
                <w:sz w:val="24"/>
                <w:szCs w:val="24"/>
                <w:lang w:eastAsia="bg-BG"/>
              </w:rPr>
              <w:t>регистър</w:t>
            </w:r>
            <w:r>
              <w:rPr>
                <w:rFonts w:ascii="Times New Roman" w:eastAsia="Times New Roman" w:hAnsi="Times New Roman" w:cs="Times New Roman"/>
                <w:color w:val="000000"/>
                <w:sz w:val="24"/>
                <w:szCs w:val="24"/>
                <w:lang w:eastAsia="bg-BG"/>
              </w:rPr>
              <w:t>и</w:t>
            </w:r>
            <w:proofErr w:type="spellEnd"/>
            <w:r>
              <w:rPr>
                <w:rFonts w:ascii="Times New Roman" w:eastAsia="Times New Roman" w:hAnsi="Times New Roman" w:cs="Times New Roman"/>
                <w:color w:val="000000"/>
                <w:sz w:val="24"/>
                <w:szCs w:val="24"/>
                <w:lang w:eastAsia="bg-BG"/>
              </w:rPr>
              <w:t xml:space="preserve"> регистъра на юридическите лица с нестопанска цел</w:t>
            </w:r>
            <w:r>
              <w:rPr>
                <w:rFonts w:ascii="Times New Roman" w:eastAsia="Times New Roman" w:hAnsi="Times New Roman" w:cs="Times New Roman"/>
                <w:i/>
                <w:sz w:val="24"/>
                <w:szCs w:val="24"/>
                <w:lang w:eastAsia="bg-BG"/>
              </w:rPr>
              <w:t>(не е приложимо за общини)</w:t>
            </w:r>
            <w:r>
              <w:rPr>
                <w:rFonts w:ascii="Times New Roman" w:eastAsia="Times New Roman" w:hAnsi="Times New Roman" w:cs="Times New Roman"/>
                <w:sz w:val="24"/>
                <w:szCs w:val="24"/>
                <w:lang w:eastAsia="bg-BG"/>
              </w:rPr>
              <w:t>;</w:t>
            </w:r>
          </w:p>
          <w:p w14:paraId="0B8EC78E" w14:textId="77777777" w:rsidR="009C0430" w:rsidRDefault="00B27CD4">
            <w:pPr>
              <w:pStyle w:val="Default"/>
              <w:jc w:val="both"/>
            </w:pPr>
            <w:r>
              <w:rPr>
                <w:b/>
              </w:rPr>
              <w:t>5.</w:t>
            </w:r>
            <w:r>
              <w:t xml:space="preserve">Счетоводен баланс за </w:t>
            </w:r>
            <w:proofErr w:type="spellStart"/>
            <w:r>
              <w:t>текущатафинансова</w:t>
            </w:r>
            <w:proofErr w:type="spellEnd"/>
            <w:r>
              <w:t xml:space="preserve"> година(индивидуален) - сканирани и прикачени в </w:t>
            </w:r>
            <w:proofErr w:type="spellStart"/>
            <w:r>
              <w:t>ИСУН.Приложимо</w:t>
            </w:r>
            <w:proofErr w:type="spellEnd"/>
            <w:r>
              <w:t xml:space="preserve"> за партньори, които не са подали към НСИ финансови отчети за предходната финансова година.</w:t>
            </w:r>
          </w:p>
          <w:p w14:paraId="7F8A5172" w14:textId="77777777" w:rsidR="009C0430" w:rsidRDefault="009C0430">
            <w:pPr>
              <w:tabs>
                <w:tab w:val="left" w:pos="-284"/>
              </w:tabs>
              <w:spacing w:before="120" w:after="120"/>
              <w:jc w:val="both"/>
              <w:rPr>
                <w:rFonts w:ascii="Times New Roman" w:eastAsia="Times New Roman" w:hAnsi="Times New Roman" w:cs="Times New Roman"/>
                <w:i/>
                <w:sz w:val="24"/>
                <w:szCs w:val="24"/>
                <w:lang w:eastAsia="bg-BG"/>
              </w:rPr>
            </w:pPr>
          </w:p>
          <w:p w14:paraId="786391D3" w14:textId="77777777" w:rsidR="009C0430" w:rsidRDefault="00B27CD4">
            <w:pPr>
              <w:tabs>
                <w:tab w:val="left" w:pos="-284"/>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имената на лицата, които са го подписали.</w:t>
            </w:r>
          </w:p>
          <w:p w14:paraId="1EDE3EF8" w14:textId="77777777" w:rsidR="009C0430" w:rsidRDefault="00B27CD4">
            <w:pPr>
              <w:tabs>
                <w:tab w:val="left" w:pos="-284"/>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сканирани и прикачени в ИСУН.</w:t>
            </w:r>
          </w:p>
          <w:p w14:paraId="4F22788C" w14:textId="77777777" w:rsidR="009C0430" w:rsidRDefault="00B27CD4">
            <w:pPr>
              <w:tabs>
                <w:tab w:val="left" w:pos="-284"/>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Когато партньорът е община се извършва служебна проверка от оценителната комисия в Закона за държавния бюджет за текущата година.</w:t>
            </w:r>
          </w:p>
          <w:p w14:paraId="7877857F" w14:textId="77777777" w:rsidR="009C0430" w:rsidRDefault="00B27CD4">
            <w:pPr>
              <w:tabs>
                <w:tab w:val="left" w:pos="-284"/>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 </w:t>
            </w:r>
          </w:p>
          <w:p w14:paraId="1C4955E5"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6.</w:t>
            </w:r>
            <w:r>
              <w:rPr>
                <w:rFonts w:ascii="Times New Roman" w:eastAsia="Times New Roman" w:hAnsi="Times New Roman" w:cs="Times New Roman"/>
                <w:sz w:val="24"/>
                <w:szCs w:val="24"/>
                <w:lang w:eastAsia="bg-BG"/>
              </w:rPr>
              <w:t xml:space="preserve">Преписот Решение на ОбС, за одобряване </w:t>
            </w:r>
            <w:proofErr w:type="spellStart"/>
            <w:r>
              <w:rPr>
                <w:rFonts w:ascii="Times New Roman" w:eastAsia="Times New Roman" w:hAnsi="Times New Roman" w:cs="Times New Roman"/>
                <w:sz w:val="24"/>
                <w:szCs w:val="24"/>
                <w:lang w:eastAsia="bg-BG"/>
              </w:rPr>
              <w:t>напартньора</w:t>
            </w:r>
            <w:proofErr w:type="spellEnd"/>
            <w:r>
              <w:rPr>
                <w:rFonts w:ascii="Times New Roman" w:eastAsia="Times New Roman" w:hAnsi="Times New Roman" w:cs="Times New Roman"/>
                <w:sz w:val="24"/>
                <w:szCs w:val="24"/>
                <w:lang w:eastAsia="bg-BG"/>
              </w:rPr>
              <w:t>/</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по проекта, съгл. ЗМСМА (в случай на партньорство), когато партньоре община по проекта, сканирано и прикачено в ИСУН;</w:t>
            </w:r>
          </w:p>
          <w:p w14:paraId="4470F64D" w14:textId="77777777" w:rsidR="009C0430" w:rsidRDefault="00B27CD4">
            <w:pPr>
              <w:tabs>
                <w:tab w:val="left" w:pos="48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случаите, в </w:t>
            </w:r>
            <w:proofErr w:type="spellStart"/>
            <w:r>
              <w:rPr>
                <w:rFonts w:ascii="Times New Roman" w:eastAsia="Times New Roman" w:hAnsi="Times New Roman" w:cs="Times New Roman"/>
                <w:sz w:val="24"/>
                <w:szCs w:val="24"/>
                <w:lang w:eastAsia="bg-BG"/>
              </w:rPr>
              <w:t>коитоедна</w:t>
            </w:r>
            <w:proofErr w:type="spellEnd"/>
            <w:r>
              <w:rPr>
                <w:rFonts w:ascii="Times New Roman" w:eastAsia="Times New Roman" w:hAnsi="Times New Roman" w:cs="Times New Roman"/>
                <w:sz w:val="24"/>
                <w:szCs w:val="24"/>
                <w:lang w:eastAsia="bg-BG"/>
              </w:rPr>
              <w:t xml:space="preserve"> организация се представлява заедно от няколко лица, декларациите си подписват от всички.</w:t>
            </w:r>
          </w:p>
          <w:p w14:paraId="3CA5C615"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случай, че кандидатът не е представил някой от посочените документи за кандидата/партньора или ги е представил, но не са в изискуемата форма, същите могат да бъдат изискани допълнително от Оценителната комисия  като за целта ще бъде определен срок за предоставянето им, не по-кратък от една седмица. </w:t>
            </w:r>
          </w:p>
          <w:p w14:paraId="3EACF2DD"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Служебни проверки се правят за доказване на допустимост на кандидатите/партньорите, в случай че информацията е публична</w:t>
            </w:r>
            <w:r>
              <w:rPr>
                <w:rFonts w:ascii="Times New Roman" w:eastAsia="Times New Roman" w:hAnsi="Times New Roman" w:cs="Times New Roman"/>
                <w:sz w:val="24"/>
                <w:szCs w:val="24"/>
                <w:lang w:eastAsia="bg-BG"/>
              </w:rPr>
              <w:t xml:space="preserve">: </w:t>
            </w:r>
          </w:p>
          <w:p w14:paraId="0BEDDCF5"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w:t>
            </w:r>
            <w:r>
              <w:rPr>
                <w:rFonts w:ascii="Times New Roman" w:eastAsia="Times New Roman" w:hAnsi="Times New Roman" w:cs="Times New Roman"/>
                <w:sz w:val="24"/>
                <w:szCs w:val="24"/>
                <w:lang w:eastAsia="bg-BG"/>
              </w:rPr>
              <w:tab/>
            </w:r>
          </w:p>
          <w:p w14:paraId="3F426038"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Оценителната комисия извършва служебна проверка за партньори – доставчици на социални услуги (в регистъра на Агенция за социално подпомагане (АСП) и за доставчици на социални услуги за деца - в регистъра на ДАЗД/АСП, вписани въз основа на лиценза от ДАЗД (ако е приложимо);</w:t>
            </w:r>
          </w:p>
          <w:p w14:paraId="70722D8A" w14:textId="77777777" w:rsidR="009C0430" w:rsidRDefault="009C0430">
            <w:pPr>
              <w:spacing w:before="120" w:after="120"/>
              <w:jc w:val="both"/>
              <w:rPr>
                <w:rFonts w:ascii="Times New Roman" w:eastAsia="Times New Roman" w:hAnsi="Times New Roman" w:cs="Times New Roman"/>
                <w:sz w:val="24"/>
                <w:szCs w:val="24"/>
                <w:lang w:eastAsia="bg-BG"/>
              </w:rPr>
            </w:pPr>
          </w:p>
          <w:p w14:paraId="674A083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ab/>
              <w:t>Оценителната комисия извършва служебна проверка за партньори, Регистрирани поделения на вероизповеданията в Регистър на местните поделения по вероизповедания.(ако е приложимо)</w:t>
            </w:r>
          </w:p>
          <w:p w14:paraId="1E2ABE70"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Оценителната комисия може по всяко време да проверява декларираните от кандидатите/партньорите данни, както и да изисква разяснения относно документите, представени съгласно т. 22 от Условията за кандидатстване.</w:t>
            </w:r>
          </w:p>
          <w:p w14:paraId="68D8A3F4"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Представената информация и документи в никакъв случай и при никакви обстоятелства не трябва да променят първоначалните условия на представените проектни предложения и/или да водят до подобряване на тяхното качество. </w:t>
            </w:r>
          </w:p>
          <w:p w14:paraId="5A16BC9A" w14:textId="77777777" w:rsidR="009C0430" w:rsidRDefault="00B27CD4">
            <w:pPr>
              <w:autoSpaceDE w:val="0"/>
              <w:autoSpaceDN w:val="0"/>
              <w:adjustRightInd w:val="0"/>
              <w:spacing w:before="120" w:after="24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 дата на получаване на исканията за документи/разяснения се счита датата, отбелязана в ИСУН 2020. Исканията за представяне на допълнителни документи и разяснения ще се изпращат чрез ИСУН 2020. В този случай кандидатът получава автоматично съобщение на електронна поща, асоциирана с профила на кандидата в ИСУН 2020 за изпратеното искане – Въпрос от оценителната комисия и проверява съдържанието и срока за отговора в ИСУН 2020. Кандидатът представя допълнителните разяснения и/или документи чрез ИСУН 2020, като отговор на въпрос от оценителната комисия. За дата на представяне на документите/информацията се счита датата на постъпване в ИСУН 2020. След изтичане на крайния срок за отговор на въпроса на оценителната комисия - предоставяне на допълнителните разяснения и/или документи - системата ИСУН 2020 автоматично заключва секциите от Формуляра за кандидатстване, които са били отворени (ако е приложимо) с цел отговор на въпрос от оценителната комисия и кандидатът не може да извършва каквито и да било действия освен „Преглед“. </w:t>
            </w:r>
            <w:proofErr w:type="spellStart"/>
            <w:r>
              <w:rPr>
                <w:rFonts w:ascii="Times New Roman" w:eastAsia="Times New Roman" w:hAnsi="Times New Roman" w:cs="Times New Roman"/>
                <w:sz w:val="24"/>
                <w:szCs w:val="24"/>
                <w:lang w:eastAsia="bg-BG"/>
              </w:rPr>
              <w:t>Н</w:t>
            </w:r>
            <w:r>
              <w:rPr>
                <w:rFonts w:ascii="Times New Roman" w:eastAsia="Times New Roman" w:hAnsi="Times New Roman" w:cs="Times New Roman"/>
                <w:color w:val="000000"/>
                <w:sz w:val="24"/>
                <w:szCs w:val="24"/>
                <w:lang w:eastAsia="bg-BG"/>
              </w:rPr>
              <w:t>еотстраняването</w:t>
            </w:r>
            <w:proofErr w:type="spellEnd"/>
            <w:r>
              <w:rPr>
                <w:rFonts w:ascii="Times New Roman" w:eastAsia="Times New Roman" w:hAnsi="Times New Roman" w:cs="Times New Roman"/>
                <w:color w:val="000000"/>
                <w:sz w:val="24"/>
                <w:szCs w:val="24"/>
                <w:lang w:eastAsia="bg-BG"/>
              </w:rPr>
              <w:t xml:space="preserve"> на </w:t>
            </w:r>
            <w:proofErr w:type="spellStart"/>
            <w:r>
              <w:rPr>
                <w:rFonts w:ascii="Times New Roman" w:eastAsia="Times New Roman" w:hAnsi="Times New Roman" w:cs="Times New Roman"/>
                <w:color w:val="000000"/>
                <w:sz w:val="24"/>
                <w:szCs w:val="24"/>
                <w:lang w:eastAsia="bg-BG"/>
              </w:rPr>
              <w:t>нередовностите</w:t>
            </w:r>
            <w:proofErr w:type="spellEnd"/>
            <w:r>
              <w:rPr>
                <w:rFonts w:ascii="Times New Roman" w:eastAsia="Times New Roman" w:hAnsi="Times New Roman" w:cs="Times New Roman"/>
                <w:color w:val="000000"/>
                <w:sz w:val="24"/>
                <w:szCs w:val="24"/>
                <w:lang w:eastAsia="bg-BG"/>
              </w:rPr>
              <w:t xml:space="preserve"> в срок може да доведе до прекратяване на производството по отношение на кандидата</w:t>
            </w:r>
            <w:r>
              <w:rPr>
                <w:rFonts w:ascii="Times New Roman" w:eastAsia="Times New Roman" w:hAnsi="Times New Roman" w:cs="Times New Roman"/>
                <w:sz w:val="24"/>
                <w:szCs w:val="24"/>
                <w:lang w:eastAsia="bg-BG"/>
              </w:rPr>
              <w:t xml:space="preserve"> или съответно да получи по-малък брой точки на етап техническа и финансова оценка. Всяка информация, предоставена извън официално изисканата от Оценителната комисия, няма да бъде взимана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кандидата и други подобни обстоятелства), която не води до подобряване на първоначалното проектно предложение и се предоставя писмено в МИГ.</w:t>
            </w:r>
          </w:p>
          <w:tbl>
            <w:tblPr>
              <w:tblStyle w:val="afe"/>
              <w:tblW w:w="0" w:type="auto"/>
              <w:tblLook w:val="04A0" w:firstRow="1" w:lastRow="0" w:firstColumn="1" w:lastColumn="0" w:noHBand="0" w:noVBand="1"/>
            </w:tblPr>
            <w:tblGrid>
              <w:gridCol w:w="9270"/>
            </w:tblGrid>
            <w:tr w:rsidR="009C0430" w14:paraId="4D10E467" w14:textId="77777777">
              <w:trPr>
                <w:trHeight w:val="1153"/>
              </w:trPr>
              <w:tc>
                <w:tcPr>
                  <w:tcW w:w="9270" w:type="dxa"/>
                  <w:shd w:val="clear" w:color="auto" w:fill="D9E2F3" w:themeFill="accent5" w:themeFillTint="33"/>
                </w:tcPr>
                <w:p w14:paraId="354E4E8A" w14:textId="77777777" w:rsidR="009C0430" w:rsidRDefault="00B27CD4">
                  <w:pPr>
                    <w:autoSpaceDE w:val="0"/>
                    <w:autoSpaceDN w:val="0"/>
                    <w:adjustRightInd w:val="0"/>
                    <w:spacing w:before="120" w:after="12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w:t>
                  </w:r>
                </w:p>
                <w:p w14:paraId="1827E1DF" w14:textId="77777777" w:rsidR="009C0430" w:rsidRDefault="00B27CD4">
                  <w:pPr>
                    <w:spacing w:before="120" w:after="120"/>
                    <w:jc w:val="both"/>
                    <w:rPr>
                      <w:rFonts w:ascii="Times New Roman" w:eastAsia="Times New Roman" w:hAnsi="Times New Roman" w:cs="Times New Roman"/>
                      <w:snapToGrid w:val="0"/>
                      <w:sz w:val="24"/>
                      <w:szCs w:val="20"/>
                      <w:lang w:eastAsia="bg-BG"/>
                    </w:rPr>
                  </w:pPr>
                  <w:r>
                    <w:rPr>
                      <w:rFonts w:ascii="Times New Roman" w:eastAsia="Times New Roman" w:hAnsi="Times New Roman" w:cs="Times New Roman"/>
                      <w:snapToGrid w:val="0"/>
                      <w:sz w:val="24"/>
                      <w:szCs w:val="24"/>
                      <w:lang w:eastAsia="bg-BG"/>
                    </w:rPr>
                    <w:t>Кандидатите следва редовно да проверяват профила си в ИСУН, тъй като чрез него оценителната комисия осъществява комуникацията си с тях!</w:t>
                  </w:r>
                </w:p>
              </w:tc>
            </w:tr>
          </w:tbl>
          <w:p w14:paraId="1C172CB2" w14:textId="77777777" w:rsidR="009C0430" w:rsidRDefault="00B27CD4">
            <w:pPr>
              <w:spacing w:before="120" w:after="120"/>
              <w:jc w:val="both"/>
              <w:rPr>
                <w:rFonts w:ascii="Times New Roman" w:eastAsia="Times New Roman" w:hAnsi="Times New Roman" w:cs="Times New Roman"/>
                <w:sz w:val="20"/>
                <w:szCs w:val="20"/>
                <w:lang w:eastAsia="bg-BG"/>
              </w:rPr>
            </w:pPr>
            <w:r>
              <w:rPr>
                <w:rFonts w:ascii="Times New Roman" w:eastAsia="Times New Roman" w:hAnsi="Times New Roman" w:cs="Times New Roman"/>
                <w:sz w:val="24"/>
                <w:szCs w:val="24"/>
                <w:lang w:eastAsia="bg-BG"/>
              </w:rPr>
              <w:t>Техническият процес, свързан с представянето на допълнителна информация/документи е подробно описан в Ръководството за потребителя на ИСУН 2020.</w:t>
            </w:r>
          </w:p>
        </w:tc>
      </w:tr>
      <w:tr w:rsidR="009C0430" w14:paraId="4E4AE7A9" w14:textId="77777777">
        <w:tc>
          <w:tcPr>
            <w:tcW w:w="9496" w:type="dxa"/>
          </w:tcPr>
          <w:p w14:paraId="4F7B752C" w14:textId="77777777" w:rsidR="009C0430" w:rsidRDefault="009C0430">
            <w:pPr>
              <w:tabs>
                <w:tab w:val="left" w:pos="4820"/>
              </w:tabs>
              <w:spacing w:before="120" w:after="120"/>
              <w:jc w:val="both"/>
              <w:rPr>
                <w:rFonts w:ascii="Times New Roman" w:eastAsia="Times New Roman" w:hAnsi="Times New Roman" w:cs="Times New Roman"/>
                <w:b/>
                <w:sz w:val="24"/>
                <w:szCs w:val="24"/>
                <w:lang w:eastAsia="bg-BG"/>
              </w:rPr>
            </w:pPr>
          </w:p>
        </w:tc>
      </w:tr>
    </w:tbl>
    <w:p w14:paraId="2AA60D98" w14:textId="77777777" w:rsidR="009C0430" w:rsidRDefault="00B27CD4">
      <w:pPr>
        <w:pStyle w:val="1"/>
      </w:pPr>
      <w:bookmarkStart w:id="95" w:name="_Toc488319667"/>
      <w:bookmarkStart w:id="96" w:name="_Toc445385617"/>
      <w:r>
        <w:t>23. Срокове за подаване на проектните предложения:</w:t>
      </w:r>
      <w:bookmarkEnd w:id="95"/>
      <w:bookmarkEnd w:id="96"/>
    </w:p>
    <w:p w14:paraId="3F6459D5" w14:textId="77777777" w:rsidR="009C0430" w:rsidRDefault="00B27CD4">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highlight w:val="yellow"/>
        </w:rPr>
      </w:pPr>
      <w:r>
        <w:rPr>
          <w:rFonts w:ascii="Times New Roman" w:eastAsia="Calibri" w:hAnsi="Times New Roman" w:cs="Times New Roman"/>
          <w:b/>
          <w:sz w:val="24"/>
          <w:szCs w:val="24"/>
          <w:highlight w:val="yellow"/>
        </w:rPr>
        <w:t>Крайният срок за подаване на проектните предложения по първа покана е  01.06.2020</w:t>
      </w:r>
    </w:p>
    <w:p w14:paraId="07D72383" w14:textId="77777777" w:rsidR="009C0430" w:rsidRDefault="009C0430">
      <w:pPr>
        <w:pStyle w:val="a0"/>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p>
    <w:p w14:paraId="637A17FA" w14:textId="77777777" w:rsidR="009C0430" w:rsidRDefault="00B27CD4">
      <w:pPr>
        <w:pStyle w:val="a0"/>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Pr>
          <w:rFonts w:ascii="Times New Roman" w:hAnsi="Times New Roman" w:cs="Times New Roman"/>
          <w:b/>
          <w:sz w:val="24"/>
          <w:szCs w:val="24"/>
        </w:rPr>
        <w:t>ВАЖНО!</w:t>
      </w:r>
    </w:p>
    <w:p w14:paraId="5DF6C549" w14:textId="77777777" w:rsidR="009C0430" w:rsidRDefault="009C0430">
      <w:pPr>
        <w:pStyle w:val="a0"/>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p>
    <w:p w14:paraId="5EFB57D6" w14:textId="77777777" w:rsidR="009C0430" w:rsidRDefault="00B27CD4">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bookmarkStart w:id="97" w:name="_Hlk522695996"/>
      <w:r>
        <w:rPr>
          <w:rFonts w:ascii="Times New Roman" w:eastAsia="Calibri" w:hAnsi="Times New Roman" w:cs="Times New Roman"/>
          <w:sz w:val="24"/>
          <w:szCs w:val="24"/>
        </w:rPr>
        <w:t xml:space="preserve">. Всяко проектно предложение, което е подадено след </w:t>
      </w:r>
      <w:r w:rsidR="0091262A">
        <w:rPr>
          <w:rFonts w:ascii="Times New Roman" w:eastAsia="Calibri" w:hAnsi="Times New Roman" w:cs="Times New Roman"/>
          <w:sz w:val="24"/>
          <w:szCs w:val="24"/>
        </w:rPr>
        <w:t>крайния</w:t>
      </w:r>
      <w:r>
        <w:rPr>
          <w:rFonts w:ascii="Times New Roman" w:eastAsia="Calibri" w:hAnsi="Times New Roman" w:cs="Times New Roman"/>
          <w:sz w:val="24"/>
          <w:szCs w:val="24"/>
        </w:rPr>
        <w:t xml:space="preserve"> срок, ще бъде отхвърлено и няма да бъде разглеждано.</w:t>
      </w:r>
    </w:p>
    <w:p w14:paraId="6B65902B" w14:textId="77777777" w:rsidR="009C0430" w:rsidRDefault="009C0430">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p>
    <w:bookmarkEnd w:id="97"/>
    <w:p w14:paraId="3258C340" w14:textId="77777777" w:rsidR="009C0430" w:rsidRDefault="00B27CD4">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14:paraId="12472B05" w14:textId="77777777" w:rsidR="009C0430" w:rsidRDefault="009C0430">
      <w:pPr>
        <w:pStyle w:val="a0"/>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p>
    <w:p w14:paraId="4F4A1E35" w14:textId="77777777" w:rsidR="009C0430" w:rsidRDefault="00B27CD4">
      <w:pPr>
        <w:pStyle w:val="1"/>
      </w:pPr>
      <w:bookmarkStart w:id="98" w:name="_Toc488319668"/>
      <w:bookmarkStart w:id="99" w:name="_Toc445385619"/>
      <w:r>
        <w:t>24. Допълнителни изисквания:</w:t>
      </w:r>
      <w:bookmarkEnd w:id="98"/>
      <w:bookmarkEnd w:id="99"/>
    </w:p>
    <w:p w14:paraId="6975A45A" w14:textId="77777777" w:rsidR="009C0430" w:rsidRDefault="00B27CD4">
      <w:pPr>
        <w:pStyle w:val="2"/>
      </w:pPr>
      <w:bookmarkStart w:id="100" w:name="_Toc445385620"/>
      <w:bookmarkStart w:id="101" w:name="_Toc488319669"/>
      <w:r>
        <w:t>24.1. Изпълнители:</w:t>
      </w:r>
      <w:bookmarkEnd w:id="100"/>
      <w:bookmarkEnd w:id="101"/>
    </w:p>
    <w:tbl>
      <w:tblPr>
        <w:tblStyle w:val="afe"/>
        <w:tblW w:w="0" w:type="auto"/>
        <w:tblInd w:w="-147" w:type="dxa"/>
        <w:tblLook w:val="04A0" w:firstRow="1" w:lastRow="0" w:firstColumn="1" w:lastColumn="0" w:noHBand="0" w:noVBand="1"/>
      </w:tblPr>
      <w:tblGrid>
        <w:gridCol w:w="9493"/>
      </w:tblGrid>
      <w:tr w:rsidR="009C0430" w14:paraId="7DE53954" w14:textId="77777777">
        <w:tc>
          <w:tcPr>
            <w:tcW w:w="9493" w:type="dxa"/>
          </w:tcPr>
          <w:p w14:paraId="612F0D60" w14:textId="77777777" w:rsidR="009C0430" w:rsidRDefault="00B27CD4">
            <w:pPr>
              <w:spacing w:after="120"/>
              <w:jc w:val="both"/>
              <w:outlineLvl w:val="0"/>
              <w:rPr>
                <w:rFonts w:ascii="Times New Roman" w:eastAsia="Times New Roman" w:hAnsi="Times New Roman" w:cs="Times New Roman"/>
                <w:sz w:val="24"/>
                <w:szCs w:val="24"/>
                <w:lang w:eastAsia="bg-BG"/>
              </w:rPr>
            </w:pPr>
            <w:bookmarkStart w:id="102" w:name="_Toc445385367"/>
            <w:bookmarkStart w:id="103" w:name="_Toc445385621"/>
            <w:r>
              <w:rPr>
                <w:rFonts w:ascii="Times New Roman" w:eastAsia="Times New Roman" w:hAnsi="Times New Roman" w:cs="Times New Roman"/>
                <w:sz w:val="24"/>
                <w:szCs w:val="24"/>
                <w:lang w:eastAsia="bg-BG"/>
              </w:rPr>
              <w:t>Кандидатът има възможност да възлага изпълнението на дейности на изпълнители. Изпълнителите не са партньори и са обект на избор по реда на глава четвърта от ЗУСЕСИФ и ПМС № 160/01.07.2016 г. или ЗОП, в зависимост от това дали кандидатът се явява възложител по реда на ЗОП или не.</w:t>
            </w:r>
          </w:p>
          <w:p w14:paraId="6520FF4E" w14:textId="77777777" w:rsidR="009C0430" w:rsidRDefault="00B27CD4">
            <w:pPr>
              <w:spacing w:after="120"/>
              <w:jc w:val="both"/>
              <w:outlineLvl w:val="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Изпълнителите трябва да притежават необходимата професионална компетентност и квалификация за извършване на възложената им дейност.</w:t>
            </w:r>
          </w:p>
          <w:p w14:paraId="3DEF2E99" w14:textId="77777777" w:rsidR="009C0430" w:rsidRDefault="00B27CD4">
            <w:pPr>
              <w:jc w:val="both"/>
              <w:outlineLvl w:val="0"/>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Важно!</w:t>
            </w:r>
          </w:p>
          <w:p w14:paraId="1BDB8691" w14:textId="77777777" w:rsidR="009C0430" w:rsidRDefault="00B27CD4">
            <w:pPr>
              <w:spacing w:after="120"/>
              <w:jc w:val="both"/>
              <w:outlineLvl w:val="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Моля обърнете внимание, че съгласно чл. 3.28 от Административния договор за предоставяне на безвъзмездна финансова помощ, финансирането с безвъзмездна финансова помощ се прекратява едностранно от РУО, когато бенефициент не сключи договор с изпълнител до 12 месеца от изтичането на срока, предвиден за неговото сключване.</w:t>
            </w:r>
          </w:p>
          <w:p w14:paraId="4FC61A21" w14:textId="77777777" w:rsidR="009C0430" w:rsidRDefault="00B27CD4">
            <w:pPr>
              <w:spacing w:before="120" w:after="120"/>
              <w:jc w:val="both"/>
              <w:rPr>
                <w:rFonts w:ascii="Times New Roman" w:eastAsia="Times New Roman" w:hAnsi="Times New Roman" w:cs="Times New Roman"/>
                <w:sz w:val="20"/>
                <w:szCs w:val="20"/>
                <w:highlight w:val="yellow"/>
                <w:lang w:eastAsia="bg-BG"/>
              </w:rPr>
            </w:pPr>
            <w:r>
              <w:rPr>
                <w:rFonts w:ascii="Times New Roman" w:eastAsia="Times New Roman" w:hAnsi="Times New Roman" w:cs="Times New Roman"/>
                <w:sz w:val="24"/>
                <w:szCs w:val="24"/>
                <w:lang w:eastAsia="bg-BG"/>
              </w:rPr>
              <w:t>Партньорът/</w:t>
            </w:r>
            <w:proofErr w:type="spellStart"/>
            <w:r>
              <w:rPr>
                <w:rFonts w:ascii="Times New Roman" w:eastAsia="Times New Roman" w:hAnsi="Times New Roman" w:cs="Times New Roman"/>
                <w:sz w:val="24"/>
                <w:szCs w:val="24"/>
                <w:lang w:eastAsia="bg-BG"/>
              </w:rPr>
              <w:t>ите</w:t>
            </w:r>
            <w:proofErr w:type="spellEnd"/>
            <w:r>
              <w:rPr>
                <w:rFonts w:ascii="Times New Roman" w:eastAsia="Times New Roman" w:hAnsi="Times New Roman" w:cs="Times New Roman"/>
                <w:sz w:val="24"/>
                <w:szCs w:val="24"/>
                <w:lang w:eastAsia="bg-BG"/>
              </w:rPr>
              <w:t xml:space="preserve"> по процедурата следва да извършват дейностите, за които са отговорни самостоятелно.</w:t>
            </w:r>
            <w:bookmarkEnd w:id="102"/>
            <w:bookmarkEnd w:id="103"/>
          </w:p>
        </w:tc>
      </w:tr>
    </w:tbl>
    <w:p w14:paraId="5DD54772" w14:textId="77777777" w:rsidR="009C0430" w:rsidRDefault="00B27CD4">
      <w:pPr>
        <w:pStyle w:val="2"/>
      </w:pPr>
      <w:bookmarkStart w:id="104" w:name="_Toc445385627"/>
      <w:bookmarkStart w:id="105" w:name="_Toc488319670"/>
      <w:r>
        <w:t>24.2. Устойчивост на резултатите:</w:t>
      </w:r>
      <w:bookmarkEnd w:id="104"/>
      <w:bookmarkEnd w:id="105"/>
    </w:p>
    <w:tbl>
      <w:tblPr>
        <w:tblStyle w:val="afe"/>
        <w:tblW w:w="0" w:type="auto"/>
        <w:tblLook w:val="04A0" w:firstRow="1" w:lastRow="0" w:firstColumn="1" w:lastColumn="0" w:noHBand="0" w:noVBand="1"/>
      </w:tblPr>
      <w:tblGrid>
        <w:gridCol w:w="9496"/>
      </w:tblGrid>
      <w:tr w:rsidR="009C0430" w14:paraId="03D40452" w14:textId="77777777">
        <w:tc>
          <w:tcPr>
            <w:tcW w:w="9496" w:type="dxa"/>
          </w:tcPr>
          <w:p w14:paraId="5A22CB09" w14:textId="77777777" w:rsidR="009C0430" w:rsidRDefault="00B27CD4">
            <w:pPr>
              <w:pStyle w:val="Text1"/>
              <w:spacing w:before="120" w:after="120"/>
              <w:ind w:left="0"/>
              <w:outlineLvl w:val="0"/>
              <w:rPr>
                <w:b/>
                <w:sz w:val="20"/>
                <w:lang w:val="bg-BG" w:eastAsia="bg-BG"/>
              </w:rPr>
            </w:pPr>
            <w:r>
              <w:rPr>
                <w:lang w:val="bg-BG" w:eastAsia="bg-BG"/>
              </w:rPr>
              <w:t xml:space="preserve">За дейностите и услугите, които ще получат подкрепа в проектните предложения в рамките на мярката следва да бъде осигурена устойчивост на постигнатите резултати и  след приключване изпълнението на проектите от страна на всеки бенефициент. </w:t>
            </w:r>
            <w:proofErr w:type="spellStart"/>
            <w:r>
              <w:rPr>
                <w:szCs w:val="24"/>
                <w:lang w:eastAsia="bg-BG"/>
              </w:rPr>
              <w:t>Инвестициитещецелятпостигане</w:t>
            </w:r>
            <w:proofErr w:type="spellEnd"/>
            <w:r>
              <w:rPr>
                <w:szCs w:val="24"/>
                <w:lang w:eastAsia="bg-BG"/>
              </w:rPr>
              <w:t xml:space="preserve"> </w:t>
            </w:r>
            <w:proofErr w:type="spellStart"/>
            <w:r>
              <w:rPr>
                <w:szCs w:val="24"/>
                <w:lang w:eastAsia="bg-BG"/>
              </w:rPr>
              <w:t>на</w:t>
            </w:r>
            <w:proofErr w:type="spellEnd"/>
            <w:r>
              <w:rPr>
                <w:szCs w:val="24"/>
                <w:lang w:eastAsia="bg-BG"/>
              </w:rPr>
              <w:t xml:space="preserve"> </w:t>
            </w:r>
            <w:proofErr w:type="spellStart"/>
            <w:r>
              <w:rPr>
                <w:szCs w:val="24"/>
                <w:lang w:eastAsia="bg-BG"/>
              </w:rPr>
              <w:t>дългосрочниефективърхуцелеватагрупа</w:t>
            </w:r>
            <w:proofErr w:type="spellEnd"/>
            <w:r>
              <w:rPr>
                <w:szCs w:val="24"/>
                <w:lang w:eastAsia="bg-BG"/>
              </w:rPr>
              <w:t xml:space="preserve">. </w:t>
            </w:r>
            <w:proofErr w:type="spellStart"/>
            <w:r>
              <w:rPr>
                <w:szCs w:val="24"/>
                <w:lang w:eastAsia="bg-BG"/>
              </w:rPr>
              <w:t>Кандидатитеследвадаопишатподробно</w:t>
            </w:r>
            <w:proofErr w:type="spellEnd"/>
            <w:r>
              <w:rPr>
                <w:szCs w:val="24"/>
                <w:lang w:eastAsia="bg-BG"/>
              </w:rPr>
              <w:t xml:space="preserve"> в </w:t>
            </w:r>
            <w:proofErr w:type="spellStart"/>
            <w:r>
              <w:rPr>
                <w:szCs w:val="24"/>
                <w:lang w:eastAsia="bg-BG"/>
              </w:rPr>
              <w:t>раздел</w:t>
            </w:r>
            <w:proofErr w:type="spellEnd"/>
            <w:r>
              <w:rPr>
                <w:szCs w:val="24"/>
                <w:lang w:eastAsia="bg-BG"/>
              </w:rPr>
              <w:t xml:space="preserve"> 11.3 </w:t>
            </w:r>
            <w:proofErr w:type="spellStart"/>
            <w:r>
              <w:rPr>
                <w:szCs w:val="24"/>
                <w:lang w:eastAsia="bg-BG"/>
              </w:rPr>
              <w:t>от</w:t>
            </w:r>
            <w:proofErr w:type="spellEnd"/>
            <w:r>
              <w:rPr>
                <w:szCs w:val="24"/>
                <w:lang w:val="bg-BG" w:eastAsia="bg-BG"/>
              </w:rPr>
              <w:t>Ф</w:t>
            </w:r>
            <w:proofErr w:type="spellStart"/>
            <w:r>
              <w:rPr>
                <w:szCs w:val="24"/>
                <w:lang w:eastAsia="bg-BG"/>
              </w:rPr>
              <w:t>ормуляразакандидатстванекаквищебъдатпрекитеефектиотреализацията</w:t>
            </w:r>
            <w:proofErr w:type="spellEnd"/>
            <w:r>
              <w:rPr>
                <w:szCs w:val="24"/>
                <w:lang w:eastAsia="bg-BG"/>
              </w:rPr>
              <w:t xml:space="preserve"> </w:t>
            </w:r>
            <w:proofErr w:type="spellStart"/>
            <w:r>
              <w:rPr>
                <w:szCs w:val="24"/>
                <w:lang w:eastAsia="bg-BG"/>
              </w:rPr>
              <w:t>на</w:t>
            </w:r>
            <w:proofErr w:type="spellEnd"/>
            <w:r>
              <w:rPr>
                <w:szCs w:val="24"/>
                <w:lang w:eastAsia="bg-BG"/>
              </w:rPr>
              <w:t xml:space="preserve"> </w:t>
            </w:r>
            <w:proofErr w:type="spellStart"/>
            <w:r>
              <w:rPr>
                <w:szCs w:val="24"/>
                <w:lang w:eastAsia="bg-BG"/>
              </w:rPr>
              <w:t>проектавърхуцелевитегрупиотеднастрана</w:t>
            </w:r>
            <w:proofErr w:type="spellEnd"/>
            <w:r>
              <w:rPr>
                <w:szCs w:val="24"/>
                <w:lang w:eastAsia="bg-BG"/>
              </w:rPr>
              <w:t xml:space="preserve">, и </w:t>
            </w:r>
            <w:proofErr w:type="spellStart"/>
            <w:r>
              <w:rPr>
                <w:szCs w:val="24"/>
                <w:lang w:eastAsia="bg-BG"/>
              </w:rPr>
              <w:t>върху</w:t>
            </w:r>
            <w:proofErr w:type="spellEnd"/>
            <w:r>
              <w:rPr>
                <w:szCs w:val="24"/>
                <w:lang w:val="bg-BG" w:eastAsia="bg-BG"/>
              </w:rPr>
              <w:t xml:space="preserve">територията на МИГ от </w:t>
            </w:r>
            <w:proofErr w:type="spellStart"/>
            <w:r>
              <w:rPr>
                <w:szCs w:val="24"/>
                <w:lang w:val="bg-BG" w:eastAsia="bg-BG"/>
              </w:rPr>
              <w:t>дрга</w:t>
            </w:r>
            <w:proofErr w:type="spellEnd"/>
            <w:r>
              <w:rPr>
                <w:szCs w:val="24"/>
                <w:lang w:eastAsia="bg-BG"/>
              </w:rPr>
              <w:t xml:space="preserve">, </w:t>
            </w:r>
            <w:proofErr w:type="spellStart"/>
            <w:r>
              <w:rPr>
                <w:szCs w:val="24"/>
                <w:lang w:eastAsia="bg-BG"/>
              </w:rPr>
              <w:t>както</w:t>
            </w:r>
            <w:proofErr w:type="spellEnd"/>
            <w:r>
              <w:rPr>
                <w:szCs w:val="24"/>
                <w:lang w:eastAsia="bg-BG"/>
              </w:rPr>
              <w:t xml:space="preserve"> и </w:t>
            </w:r>
            <w:proofErr w:type="spellStart"/>
            <w:r>
              <w:rPr>
                <w:szCs w:val="24"/>
                <w:lang w:eastAsia="bg-BG"/>
              </w:rPr>
              <w:t>кактоващедопринесезапостигане</w:t>
            </w:r>
            <w:proofErr w:type="spellEnd"/>
            <w:r>
              <w:rPr>
                <w:szCs w:val="24"/>
                <w:lang w:eastAsia="bg-BG"/>
              </w:rPr>
              <w:t xml:space="preserve"> </w:t>
            </w:r>
            <w:proofErr w:type="spellStart"/>
            <w:r>
              <w:rPr>
                <w:szCs w:val="24"/>
                <w:lang w:eastAsia="bg-BG"/>
              </w:rPr>
              <w:t>на</w:t>
            </w:r>
            <w:proofErr w:type="spellEnd"/>
            <w:r>
              <w:rPr>
                <w:szCs w:val="24"/>
                <w:lang w:eastAsia="bg-BG"/>
              </w:rPr>
              <w:t xml:space="preserve"> </w:t>
            </w:r>
            <w:proofErr w:type="spellStart"/>
            <w:r>
              <w:rPr>
                <w:szCs w:val="24"/>
                <w:lang w:eastAsia="bg-BG"/>
              </w:rPr>
              <w:t>устойчивазаетост</w:t>
            </w:r>
            <w:proofErr w:type="spellEnd"/>
            <w:r>
              <w:rPr>
                <w:szCs w:val="24"/>
                <w:lang w:eastAsia="bg-BG"/>
              </w:rPr>
              <w:t xml:space="preserve"> и </w:t>
            </w:r>
            <w:proofErr w:type="spellStart"/>
            <w:r>
              <w:rPr>
                <w:szCs w:val="24"/>
                <w:lang w:eastAsia="bg-BG"/>
              </w:rPr>
              <w:t>развитие</w:t>
            </w:r>
            <w:proofErr w:type="spellEnd"/>
            <w:r>
              <w:rPr>
                <w:szCs w:val="24"/>
                <w:lang w:eastAsia="bg-BG"/>
              </w:rPr>
              <w:t>.</w:t>
            </w:r>
          </w:p>
        </w:tc>
      </w:tr>
    </w:tbl>
    <w:p w14:paraId="77B66E6A" w14:textId="77777777" w:rsidR="009C0430" w:rsidRDefault="00B27CD4">
      <w:pPr>
        <w:pStyle w:val="2"/>
      </w:pPr>
      <w:bookmarkStart w:id="106" w:name="_Toc488319671"/>
      <w:bookmarkStart w:id="107" w:name="_Toc445385629"/>
      <w:r>
        <w:t>24.3. Брой предложения и безвъзмездни финансови помощи на кандидат и партньор</w:t>
      </w:r>
      <w:bookmarkEnd w:id="106"/>
      <w:bookmarkEnd w:id="107"/>
    </w:p>
    <w:tbl>
      <w:tblPr>
        <w:tblStyle w:val="afe"/>
        <w:tblW w:w="0" w:type="auto"/>
        <w:tblLook w:val="04A0" w:firstRow="1" w:lastRow="0" w:firstColumn="1" w:lastColumn="0" w:noHBand="0" w:noVBand="1"/>
      </w:tblPr>
      <w:tblGrid>
        <w:gridCol w:w="9496"/>
      </w:tblGrid>
      <w:tr w:rsidR="009C0430" w14:paraId="42F2AA39" w14:textId="77777777">
        <w:tc>
          <w:tcPr>
            <w:tcW w:w="9496" w:type="dxa"/>
          </w:tcPr>
          <w:p w14:paraId="2CB6D44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Всеки кандидат може да подаде само едно проектно предложение по настоящата процедура за набиране на предложения. В случай, че кандидат е подал повече от едно проектно предложение, то до оценка ще бъде допуснато само последното, по време на подаване, проектно предложение, освен ако не е оттеглено от страна на кандидата.</w:t>
            </w:r>
          </w:p>
          <w:p w14:paraId="7CFAF76A"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Един партньор може да участва в повече от едно проектни предложения, в случай че разполага с достатъчно капацитет, за да изпълни дейностите по проектите.</w:t>
            </w:r>
          </w:p>
        </w:tc>
      </w:tr>
    </w:tbl>
    <w:p w14:paraId="72792B57" w14:textId="77777777" w:rsidR="009C0430" w:rsidRDefault="00B27CD4">
      <w:pPr>
        <w:pStyle w:val="2"/>
      </w:pPr>
      <w:bookmarkStart w:id="108" w:name="_Toc488319672"/>
      <w:bookmarkStart w:id="109" w:name="_Toc445385630"/>
      <w:r>
        <w:t>24.4. Допълнителни въпроси и разяснения във връзка с Условията за кандидатстване</w:t>
      </w:r>
      <w:bookmarkEnd w:id="108"/>
      <w:bookmarkEnd w:id="109"/>
    </w:p>
    <w:tbl>
      <w:tblPr>
        <w:tblStyle w:val="afe"/>
        <w:tblW w:w="0" w:type="auto"/>
        <w:tblLook w:val="04A0" w:firstRow="1" w:lastRow="0" w:firstColumn="1" w:lastColumn="0" w:noHBand="0" w:noVBand="1"/>
      </w:tblPr>
      <w:tblGrid>
        <w:gridCol w:w="9496"/>
      </w:tblGrid>
      <w:tr w:rsidR="009C0430" w14:paraId="0CD115D8" w14:textId="77777777">
        <w:tc>
          <w:tcPr>
            <w:tcW w:w="9496" w:type="dxa"/>
          </w:tcPr>
          <w:p w14:paraId="2D809241" w14:textId="77777777" w:rsidR="009C0430" w:rsidRDefault="00B27CD4">
            <w:pPr>
              <w:spacing w:before="120" w:after="120"/>
              <w:jc w:val="both"/>
              <w:rPr>
                <w:rFonts w:ascii="Times New Roman" w:eastAsia="Times New Roman" w:hAnsi="Times New Roman" w:cs="Times New Roman"/>
                <w:b/>
                <w:bCs/>
                <w:color w:val="0000FF"/>
                <w:sz w:val="24"/>
                <w:szCs w:val="24"/>
                <w:lang w:eastAsia="bg-BG"/>
              </w:rPr>
            </w:pPr>
            <w:bookmarkStart w:id="110" w:name="_Toc172021290"/>
            <w:r>
              <w:rPr>
                <w:rFonts w:ascii="Times New Roman" w:eastAsia="Times New Roman" w:hAnsi="Times New Roman" w:cs="Times New Roman"/>
                <w:b/>
                <w:sz w:val="24"/>
                <w:szCs w:val="24"/>
                <w:lang w:eastAsia="bg-BG"/>
              </w:rPr>
              <w:t xml:space="preserve">На електронна поща </w:t>
            </w:r>
            <w:hyperlink r:id="rId16" w:history="1">
              <w:r>
                <w:rPr>
                  <w:rStyle w:val="afc"/>
                  <w:rFonts w:ascii="Times New Roman" w:eastAsia="Times New Roman" w:hAnsi="Times New Roman" w:cs="Times New Roman"/>
                  <w:sz w:val="24"/>
                  <w:szCs w:val="24"/>
                  <w:lang w:eastAsia="bg-BG"/>
                </w:rPr>
                <w:t>mig_</w:t>
              </w:r>
              <w:r>
                <w:rPr>
                  <w:rStyle w:val="afc"/>
                  <w:rFonts w:ascii="Times New Roman" w:eastAsia="Times New Roman" w:hAnsi="Times New Roman" w:cs="Times New Roman"/>
                  <w:sz w:val="24"/>
                  <w:szCs w:val="24"/>
                  <w:lang w:val="en-US" w:eastAsia="bg-BG"/>
                </w:rPr>
                <w:t>mkg</w:t>
              </w:r>
              <w:r>
                <w:rPr>
                  <w:rStyle w:val="afc"/>
                  <w:rFonts w:ascii="Times New Roman" w:eastAsia="Times New Roman" w:hAnsi="Times New Roman" w:cs="Times New Roman"/>
                  <w:sz w:val="24"/>
                  <w:szCs w:val="24"/>
                  <w:lang w:eastAsia="bg-BG"/>
                </w:rPr>
                <w:t>2016@</w:t>
              </w:r>
              <w:r>
                <w:rPr>
                  <w:rStyle w:val="afc"/>
                  <w:rFonts w:ascii="Times New Roman" w:eastAsia="Times New Roman" w:hAnsi="Times New Roman" w:cs="Times New Roman"/>
                  <w:sz w:val="24"/>
                  <w:szCs w:val="24"/>
                  <w:lang w:val="en-US" w:eastAsia="bg-BG"/>
                </w:rPr>
                <w:t>gmail.com</w:t>
              </w:r>
            </w:hyperlink>
            <w:r>
              <w:rPr>
                <w:rFonts w:ascii="Times New Roman" w:eastAsia="Times New Roman" w:hAnsi="Times New Roman" w:cs="Times New Roman"/>
                <w:sz w:val="24"/>
                <w:szCs w:val="24"/>
                <w:lang w:eastAsia="bg-BG"/>
              </w:rPr>
              <w:t xml:space="preserve">, като ясно се посочва номера на поканата за набиране на </w:t>
            </w:r>
            <w:proofErr w:type="spellStart"/>
            <w:r>
              <w:rPr>
                <w:rFonts w:ascii="Times New Roman" w:eastAsia="Times New Roman" w:hAnsi="Times New Roman" w:cs="Times New Roman"/>
                <w:sz w:val="24"/>
                <w:szCs w:val="24"/>
                <w:lang w:eastAsia="bg-BG"/>
              </w:rPr>
              <w:t>предложения,</w:t>
            </w:r>
            <w:r>
              <w:rPr>
                <w:rFonts w:ascii="Times New Roman" w:eastAsia="Times New Roman" w:hAnsi="Times New Roman" w:cs="Times New Roman"/>
                <w:b/>
                <w:sz w:val="24"/>
                <w:szCs w:val="24"/>
                <w:lang w:eastAsia="bg-BG"/>
              </w:rPr>
              <w:t>могат</w:t>
            </w:r>
            <w:proofErr w:type="spellEnd"/>
            <w:r>
              <w:rPr>
                <w:rFonts w:ascii="Times New Roman" w:eastAsia="Times New Roman" w:hAnsi="Times New Roman" w:cs="Times New Roman"/>
                <w:b/>
                <w:sz w:val="24"/>
                <w:szCs w:val="24"/>
                <w:lang w:eastAsia="bg-BG"/>
              </w:rPr>
              <w:t xml:space="preserve"> да се задават въпроси и да се искат допълнителни разяснения</w:t>
            </w:r>
            <w:r>
              <w:rPr>
                <w:rFonts w:ascii="Times New Roman" w:eastAsia="Times New Roman" w:hAnsi="Times New Roman" w:cs="Times New Roman"/>
                <w:sz w:val="24"/>
                <w:szCs w:val="24"/>
                <w:lang w:eastAsia="bg-BG"/>
              </w:rPr>
              <w:t>, в срок до 10 дни преди изтичането на срока за кандидатстване -</w:t>
            </w:r>
            <w:r>
              <w:rPr>
                <w:rFonts w:ascii="Times New Roman" w:eastAsia="Times New Roman" w:hAnsi="Times New Roman" w:cs="Times New Roman"/>
                <w:sz w:val="24"/>
                <w:szCs w:val="24"/>
                <w:highlight w:val="yellow"/>
                <w:lang w:eastAsia="bg-BG"/>
              </w:rPr>
              <w:t xml:space="preserve">до </w:t>
            </w:r>
            <w:r>
              <w:rPr>
                <w:rFonts w:ascii="Times New Roman" w:eastAsia="Times New Roman" w:hAnsi="Times New Roman" w:cs="Times New Roman"/>
                <w:b/>
                <w:bCs/>
                <w:color w:val="2E74B5"/>
                <w:sz w:val="24"/>
                <w:szCs w:val="24"/>
                <w:highlight w:val="yellow"/>
                <w:u w:val="single"/>
                <w:lang w:val="en-US" w:eastAsia="bg-BG"/>
              </w:rPr>
              <w:t>20</w:t>
            </w:r>
            <w:r>
              <w:rPr>
                <w:rFonts w:ascii="Times New Roman" w:eastAsia="Times New Roman" w:hAnsi="Times New Roman" w:cs="Times New Roman"/>
                <w:b/>
                <w:bCs/>
                <w:color w:val="2E74B5"/>
                <w:sz w:val="24"/>
                <w:szCs w:val="24"/>
                <w:highlight w:val="yellow"/>
                <w:u w:val="single"/>
                <w:lang w:eastAsia="bg-BG"/>
              </w:rPr>
              <w:t>.0</w:t>
            </w:r>
            <w:r>
              <w:rPr>
                <w:rFonts w:ascii="Times New Roman" w:eastAsia="Times New Roman" w:hAnsi="Times New Roman" w:cs="Times New Roman"/>
                <w:b/>
                <w:bCs/>
                <w:color w:val="2E74B5"/>
                <w:sz w:val="24"/>
                <w:szCs w:val="24"/>
                <w:highlight w:val="yellow"/>
                <w:u w:val="single"/>
                <w:lang w:val="en-US" w:eastAsia="bg-BG"/>
              </w:rPr>
              <w:t>5</w:t>
            </w:r>
            <w:r>
              <w:rPr>
                <w:rFonts w:ascii="Times New Roman" w:eastAsia="Times New Roman" w:hAnsi="Times New Roman" w:cs="Times New Roman"/>
                <w:b/>
                <w:bCs/>
                <w:color w:val="2E74B5"/>
                <w:sz w:val="24"/>
                <w:szCs w:val="24"/>
                <w:highlight w:val="yellow"/>
                <w:u w:val="single"/>
                <w:lang w:eastAsia="bg-BG"/>
              </w:rPr>
              <w:t>.20</w:t>
            </w:r>
            <w:r>
              <w:rPr>
                <w:rFonts w:ascii="Times New Roman" w:eastAsia="Times New Roman" w:hAnsi="Times New Roman" w:cs="Times New Roman"/>
                <w:b/>
                <w:bCs/>
                <w:color w:val="2E74B5"/>
                <w:sz w:val="24"/>
                <w:szCs w:val="24"/>
                <w:highlight w:val="yellow"/>
                <w:u w:val="single"/>
                <w:lang w:val="en-US" w:eastAsia="bg-BG"/>
              </w:rPr>
              <w:t>20</w:t>
            </w:r>
            <w:r>
              <w:rPr>
                <w:rFonts w:ascii="Times New Roman" w:eastAsia="Times New Roman" w:hAnsi="Times New Roman" w:cs="Times New Roman"/>
                <w:b/>
                <w:bCs/>
                <w:color w:val="2E74B5"/>
                <w:sz w:val="24"/>
                <w:szCs w:val="24"/>
                <w:u w:val="single"/>
                <w:lang w:eastAsia="bg-BG"/>
              </w:rPr>
              <w:t xml:space="preserve"> г</w:t>
            </w:r>
            <w:r>
              <w:rPr>
                <w:rFonts w:ascii="Times New Roman" w:eastAsia="Times New Roman" w:hAnsi="Times New Roman" w:cs="Times New Roman"/>
                <w:b/>
                <w:bCs/>
                <w:color w:val="0000FF"/>
                <w:sz w:val="24"/>
                <w:szCs w:val="24"/>
                <w:u w:val="single"/>
                <w:lang w:eastAsia="bg-BG"/>
              </w:rPr>
              <w:t>.</w:t>
            </w:r>
          </w:p>
          <w:p w14:paraId="3877A5F3" w14:textId="77777777" w:rsidR="009C0430" w:rsidRDefault="009C0430">
            <w:pPr>
              <w:spacing w:line="276" w:lineRule="auto"/>
              <w:jc w:val="both"/>
              <w:rPr>
                <w:rFonts w:ascii="Times New Roman" w:eastAsia="Times New Roman" w:hAnsi="Times New Roman" w:cs="Times New Roman"/>
                <w:sz w:val="24"/>
                <w:szCs w:val="24"/>
                <w:highlight w:val="yellow"/>
                <w:lang w:eastAsia="bg-BG"/>
              </w:rPr>
            </w:pPr>
          </w:p>
          <w:bookmarkEnd w:id="110"/>
          <w:p w14:paraId="6126290D" w14:textId="77777777" w:rsidR="009C0430" w:rsidRDefault="00B27CD4">
            <w:pPr>
              <w:spacing w:line="276"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highlight w:val="yellow"/>
                <w:lang w:eastAsia="bg-BG"/>
              </w:rPr>
              <w:t>Писмени разяснения ще бъдат дадени в срок до -</w:t>
            </w:r>
            <w:r>
              <w:rPr>
                <w:rFonts w:ascii="Times New Roman" w:eastAsia="Times New Roman" w:hAnsi="Times New Roman" w:cs="Times New Roman"/>
                <w:bCs/>
                <w:sz w:val="24"/>
                <w:szCs w:val="24"/>
                <w:highlight w:val="yellow"/>
                <w:lang w:val="en-US" w:eastAsia="bg-BG"/>
              </w:rPr>
              <w:t>25</w:t>
            </w:r>
            <w:r>
              <w:rPr>
                <w:rFonts w:ascii="Times New Roman" w:eastAsia="Times New Roman" w:hAnsi="Times New Roman" w:cs="Times New Roman"/>
                <w:bCs/>
                <w:sz w:val="24"/>
                <w:szCs w:val="24"/>
                <w:highlight w:val="yellow"/>
                <w:lang w:eastAsia="bg-BG"/>
              </w:rPr>
              <w:t>.</w:t>
            </w:r>
            <w:r>
              <w:rPr>
                <w:rFonts w:ascii="Times New Roman" w:eastAsia="Times New Roman" w:hAnsi="Times New Roman" w:cs="Times New Roman"/>
                <w:bCs/>
                <w:sz w:val="24"/>
                <w:szCs w:val="24"/>
                <w:highlight w:val="yellow"/>
                <w:lang w:val="en-US" w:eastAsia="bg-BG"/>
              </w:rPr>
              <w:t>05.</w:t>
            </w:r>
            <w:r>
              <w:rPr>
                <w:rFonts w:ascii="Times New Roman" w:eastAsia="Times New Roman" w:hAnsi="Times New Roman" w:cs="Times New Roman"/>
                <w:bCs/>
                <w:sz w:val="24"/>
                <w:szCs w:val="24"/>
                <w:highlight w:val="yellow"/>
                <w:lang w:eastAsia="bg-BG"/>
              </w:rPr>
              <w:t>20</w:t>
            </w:r>
            <w:r>
              <w:rPr>
                <w:rFonts w:ascii="Times New Roman" w:eastAsia="Times New Roman" w:hAnsi="Times New Roman" w:cs="Times New Roman"/>
                <w:bCs/>
                <w:sz w:val="24"/>
                <w:szCs w:val="24"/>
                <w:highlight w:val="yellow"/>
                <w:lang w:val="en-US" w:eastAsia="bg-BG"/>
              </w:rPr>
              <w:t>20</w:t>
            </w:r>
            <w:r>
              <w:rPr>
                <w:rFonts w:ascii="Times New Roman" w:eastAsia="Times New Roman" w:hAnsi="Times New Roman" w:cs="Times New Roman"/>
                <w:bCs/>
                <w:sz w:val="24"/>
                <w:szCs w:val="24"/>
                <w:highlight w:val="yellow"/>
                <w:lang w:eastAsia="bg-BG"/>
              </w:rPr>
              <w:t xml:space="preserve"> г.</w:t>
            </w:r>
          </w:p>
          <w:p w14:paraId="1001C665" w14:textId="77777777" w:rsidR="009C0430" w:rsidRDefault="009C0430">
            <w:pPr>
              <w:spacing w:before="120" w:after="120"/>
              <w:jc w:val="both"/>
              <w:rPr>
                <w:rFonts w:ascii="Times New Roman" w:eastAsia="Times New Roman" w:hAnsi="Times New Roman" w:cs="Times New Roman"/>
                <w:bCs/>
                <w:sz w:val="24"/>
                <w:szCs w:val="24"/>
                <w:lang w:eastAsia="bg-BG"/>
              </w:rPr>
            </w:pPr>
          </w:p>
          <w:p w14:paraId="2F24CF08" w14:textId="77777777" w:rsidR="009C0430" w:rsidRDefault="00B27CD4">
            <w:pPr>
              <w:pStyle w:val="31"/>
              <w:spacing w:before="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 оглед осигуряване равнопоставено третиране на кандидатите, МИГ няма да дава разяснения, които съдържат становище относно качеството на конкретно проектно </w:t>
            </w:r>
            <w:proofErr w:type="spellStart"/>
            <w:r>
              <w:rPr>
                <w:rFonts w:ascii="Times New Roman" w:eastAsia="Times New Roman" w:hAnsi="Times New Roman" w:cs="Times New Roman"/>
                <w:sz w:val="24"/>
                <w:szCs w:val="24"/>
                <w:lang w:eastAsia="bg-BG"/>
              </w:rPr>
              <w:t>предложение.</w:t>
            </w:r>
            <w:r>
              <w:rPr>
                <w:rFonts w:ascii="Times New Roman" w:eastAsia="Times New Roman" w:hAnsi="Times New Roman" w:cs="Times New Roman"/>
                <w:color w:val="000000"/>
                <w:sz w:val="24"/>
                <w:szCs w:val="24"/>
                <w:lang w:eastAsia="bg-BG"/>
              </w:rPr>
              <w:t>Разяснения</w:t>
            </w:r>
            <w:proofErr w:type="spellEnd"/>
            <w:r>
              <w:rPr>
                <w:rFonts w:ascii="Times New Roman" w:eastAsia="Times New Roman" w:hAnsi="Times New Roman" w:cs="Times New Roman"/>
                <w:color w:val="000000"/>
                <w:sz w:val="24"/>
                <w:szCs w:val="24"/>
                <w:lang w:eastAsia="bg-BG"/>
              </w:rPr>
              <w:t xml:space="preserve"> се дават по отношение на условията за кандидатстване и са задължителни за всички кандидати.</w:t>
            </w:r>
          </w:p>
          <w:p w14:paraId="3227448B" w14:textId="77777777" w:rsidR="009C0430" w:rsidRDefault="00B27CD4">
            <w:pPr>
              <w:pStyle w:val="31"/>
              <w:spacing w:before="1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Въпросите и разясненията ще бъдат публикувани на следната интернет-страница:</w:t>
            </w:r>
          </w:p>
          <w:p w14:paraId="277D4BC9" w14:textId="77777777" w:rsidR="009C0430" w:rsidRDefault="00B50ADD">
            <w:pPr>
              <w:spacing w:before="120" w:after="120"/>
              <w:jc w:val="both"/>
              <w:rPr>
                <w:rFonts w:ascii="Times New Roman" w:eastAsia="Times New Roman" w:hAnsi="Times New Roman" w:cs="Times New Roman"/>
                <w:color w:val="0000FF"/>
                <w:sz w:val="24"/>
                <w:szCs w:val="24"/>
                <w:lang w:eastAsia="bg-BG"/>
              </w:rPr>
            </w:pPr>
            <w:hyperlink r:id="rId17" w:history="1">
              <w:r w:rsidR="00B27CD4">
                <w:rPr>
                  <w:rStyle w:val="afc"/>
                  <w:rFonts w:ascii="Times New Roman" w:eastAsia="Times New Roman" w:hAnsi="Times New Roman" w:cs="Times New Roman"/>
                  <w:sz w:val="24"/>
                  <w:szCs w:val="24"/>
                  <w:lang w:eastAsia="bg-BG"/>
                </w:rPr>
                <w:t>http://mig-</w:t>
              </w:r>
              <w:proofErr w:type="spellStart"/>
              <w:r w:rsidR="00B27CD4">
                <w:rPr>
                  <w:rStyle w:val="afc"/>
                  <w:rFonts w:ascii="Times New Roman" w:eastAsia="Times New Roman" w:hAnsi="Times New Roman" w:cs="Times New Roman"/>
                  <w:sz w:val="24"/>
                  <w:szCs w:val="24"/>
                  <w:lang w:val="en-US" w:eastAsia="bg-BG"/>
                </w:rPr>
                <w:t>mkg</w:t>
              </w:r>
              <w:proofErr w:type="spellEnd"/>
              <w:r w:rsidR="00B27CD4">
                <w:rPr>
                  <w:rStyle w:val="afc"/>
                  <w:rFonts w:ascii="Times New Roman" w:eastAsia="Times New Roman" w:hAnsi="Times New Roman" w:cs="Times New Roman"/>
                  <w:sz w:val="24"/>
                  <w:szCs w:val="24"/>
                  <w:lang w:eastAsia="bg-BG"/>
                </w:rPr>
                <w:t>.</w:t>
              </w:r>
              <w:proofErr w:type="spellStart"/>
              <w:r w:rsidR="00B27CD4">
                <w:rPr>
                  <w:rStyle w:val="afc"/>
                  <w:rFonts w:ascii="Times New Roman" w:eastAsia="Times New Roman" w:hAnsi="Times New Roman" w:cs="Times New Roman"/>
                  <w:sz w:val="24"/>
                  <w:szCs w:val="24"/>
                  <w:lang w:val="en-US" w:eastAsia="bg-BG"/>
                </w:rPr>
                <w:t>bg</w:t>
              </w:r>
              <w:proofErr w:type="spellEnd"/>
              <w:r w:rsidR="00B27CD4">
                <w:rPr>
                  <w:rStyle w:val="afc"/>
                  <w:rFonts w:ascii="Times New Roman" w:eastAsia="Times New Roman" w:hAnsi="Times New Roman" w:cs="Times New Roman"/>
                  <w:sz w:val="24"/>
                  <w:szCs w:val="24"/>
                  <w:lang w:eastAsia="bg-BG"/>
                </w:rPr>
                <w:t>/</w:t>
              </w:r>
            </w:hyperlink>
            <w:r w:rsidR="00B27CD4">
              <w:rPr>
                <w:rFonts w:ascii="Times New Roman" w:eastAsia="Times New Roman" w:hAnsi="Times New Roman" w:cs="Times New Roman"/>
                <w:sz w:val="24"/>
                <w:szCs w:val="24"/>
                <w:lang w:eastAsia="bg-BG"/>
              </w:rPr>
              <w:t>към документите по процедурата и в ИСУН.</w:t>
            </w:r>
          </w:p>
        </w:tc>
      </w:tr>
    </w:tbl>
    <w:p w14:paraId="4C3FBF4F" w14:textId="77777777" w:rsidR="009C0430" w:rsidRDefault="00B27CD4">
      <w:pPr>
        <w:pStyle w:val="2"/>
      </w:pPr>
      <w:bookmarkStart w:id="111" w:name="_Toc488319673"/>
      <w:bookmarkStart w:id="112" w:name="_Toc445385631"/>
      <w:r>
        <w:t>24.5. Уведомяване относно предварителното решение на МИГ</w:t>
      </w:r>
      <w:bookmarkEnd w:id="111"/>
    </w:p>
    <w:tbl>
      <w:tblPr>
        <w:tblStyle w:val="afe"/>
        <w:tblW w:w="0" w:type="auto"/>
        <w:tblLook w:val="04A0" w:firstRow="1" w:lastRow="0" w:firstColumn="1" w:lastColumn="0" w:noHBand="0" w:noVBand="1"/>
      </w:tblPr>
      <w:tblGrid>
        <w:gridCol w:w="9496"/>
      </w:tblGrid>
      <w:tr w:rsidR="009C0430" w14:paraId="0CDE7BC9" w14:textId="77777777">
        <w:tc>
          <w:tcPr>
            <w:tcW w:w="9496" w:type="dxa"/>
          </w:tcPr>
          <w:p w14:paraId="449B0A3F" w14:textId="77777777" w:rsidR="009C0430" w:rsidRDefault="00B27CD4">
            <w:pPr>
              <w:tabs>
                <w:tab w:val="left" w:pos="0"/>
                <w:tab w:val="left" w:pos="567"/>
                <w:tab w:val="left" w:pos="2608"/>
                <w:tab w:val="left" w:pos="3317"/>
              </w:tabs>
              <w:spacing w:before="120" w:after="120"/>
              <w:jc w:val="both"/>
              <w:rPr>
                <w:rFonts w:ascii="Times New Roman" w:eastAsia="Times New Roman" w:hAnsi="Times New Roman" w:cs="Times New Roman"/>
                <w:snapToGrid w:val="0"/>
                <w:sz w:val="24"/>
                <w:szCs w:val="24"/>
              </w:rPr>
            </w:pPr>
            <w:r>
              <w:rPr>
                <w:rFonts w:ascii="Times New Roman" w:eastAsia="Times New Roman" w:hAnsi="Times New Roman" w:cs="Times New Roman"/>
                <w:sz w:val="24"/>
                <w:szCs w:val="24"/>
                <w:lang w:eastAsia="bg-BG"/>
              </w:rPr>
              <w:t xml:space="preserve">В срок до 5 работни дни от одобрение на оценителния доклад  от председателя на УС на МИГ, МИГ изпраща уведомително писмо на всеки кандидат </w:t>
            </w:r>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чийто</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проектни</w:t>
            </w:r>
            <w:proofErr w:type="spellEnd"/>
            <w:r>
              <w:rPr>
                <w:rFonts w:ascii="Times New Roman" w:eastAsia="Times New Roman" w:hAnsi="Times New Roman" w:cs="Times New Roman"/>
                <w:sz w:val="24"/>
                <w:szCs w:val="24"/>
                <w:lang w:val="ru-RU" w:eastAsia="bg-BG"/>
              </w:rPr>
              <w:t xml:space="preserve"> предложения не </w:t>
            </w:r>
            <w:proofErr w:type="spellStart"/>
            <w:r>
              <w:rPr>
                <w:rFonts w:ascii="Times New Roman" w:eastAsia="Times New Roman" w:hAnsi="Times New Roman" w:cs="Times New Roman"/>
                <w:sz w:val="24"/>
                <w:szCs w:val="24"/>
                <w:lang w:val="ru-RU" w:eastAsia="bg-BG"/>
              </w:rPr>
              <w:t>са</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одобрени</w:t>
            </w:r>
            <w:proofErr w:type="spellEnd"/>
            <w:r>
              <w:rPr>
                <w:rFonts w:ascii="Times New Roman" w:eastAsia="Times New Roman" w:hAnsi="Times New Roman" w:cs="Times New Roman"/>
                <w:sz w:val="24"/>
                <w:szCs w:val="24"/>
                <w:lang w:val="ru-RU" w:eastAsia="bg-BG"/>
              </w:rPr>
              <w:t xml:space="preserve"> или </w:t>
            </w:r>
            <w:proofErr w:type="spellStart"/>
            <w:r>
              <w:rPr>
                <w:rFonts w:ascii="Times New Roman" w:eastAsia="Times New Roman" w:hAnsi="Times New Roman" w:cs="Times New Roman"/>
                <w:sz w:val="24"/>
                <w:szCs w:val="24"/>
                <w:lang w:val="ru-RU" w:eastAsia="bg-BG"/>
              </w:rPr>
              <w:t>са</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одобрени</w:t>
            </w:r>
            <w:proofErr w:type="spellEnd"/>
            <w:r>
              <w:rPr>
                <w:rFonts w:ascii="Times New Roman" w:eastAsia="Times New Roman" w:hAnsi="Times New Roman" w:cs="Times New Roman"/>
                <w:sz w:val="24"/>
                <w:szCs w:val="24"/>
                <w:lang w:val="ru-RU" w:eastAsia="bg-BG"/>
              </w:rPr>
              <w:t xml:space="preserve"> частично</w:t>
            </w:r>
            <w:r>
              <w:rPr>
                <w:rFonts w:ascii="Times New Roman" w:eastAsia="Times New Roman" w:hAnsi="Times New Roman" w:cs="Times New Roman"/>
                <w:b/>
                <w:sz w:val="24"/>
                <w:szCs w:val="24"/>
                <w:lang w:val="ru-RU" w:eastAsia="bg-BG"/>
              </w:rPr>
              <w:t>.</w:t>
            </w:r>
            <w:r>
              <w:rPr>
                <w:rFonts w:ascii="Times New Roman" w:eastAsia="Times New Roman" w:hAnsi="Times New Roman" w:cs="Times New Roman"/>
                <w:sz w:val="24"/>
                <w:szCs w:val="24"/>
                <w:lang w:eastAsia="bg-BG"/>
              </w:rPr>
              <w:t xml:space="preserve">, с мотивите за отказ. </w:t>
            </w:r>
            <w:r>
              <w:rPr>
                <w:rFonts w:ascii="Times New Roman" w:eastAsia="Calibri" w:hAnsi="Times New Roman" w:cs="Times New Roman"/>
                <w:sz w:val="24"/>
                <w:szCs w:val="24"/>
                <w:lang w:eastAsia="bg-BG"/>
              </w:rPr>
              <w:t xml:space="preserve"> Писмото се изпраща през ИСУН 2020, чрез електронния профил на кандидата. За дата на получаване на уведомлението се счита датата, посочена в ИСУН – датата, на която е изпратено съобщението.</w:t>
            </w:r>
          </w:p>
          <w:p w14:paraId="0AE4F6D8" w14:textId="77777777" w:rsidR="009C0430" w:rsidRDefault="009C0430">
            <w:pPr>
              <w:jc w:val="both"/>
              <w:rPr>
                <w:rFonts w:ascii="Times New Roman" w:eastAsia="Times New Roman" w:hAnsi="Times New Roman" w:cs="Times New Roman"/>
                <w:sz w:val="24"/>
                <w:szCs w:val="24"/>
                <w:lang w:eastAsia="bg-BG"/>
              </w:rPr>
            </w:pPr>
          </w:p>
        </w:tc>
      </w:tr>
    </w:tbl>
    <w:p w14:paraId="4E3F9427" w14:textId="77777777" w:rsidR="009C0430" w:rsidRDefault="009C0430">
      <w:pPr>
        <w:pStyle w:val="2"/>
      </w:pPr>
      <w:bookmarkStart w:id="113" w:name="_Toc488319674"/>
    </w:p>
    <w:p w14:paraId="7823769A" w14:textId="77777777" w:rsidR="009C0430" w:rsidRDefault="00B27CD4">
      <w:pPr>
        <w:pStyle w:val="2"/>
      </w:pPr>
      <w:r>
        <w:t>24.6. Процедура за възражения относно оценката</w:t>
      </w:r>
      <w:bookmarkEnd w:id="112"/>
      <w:bookmarkEnd w:id="113"/>
    </w:p>
    <w:tbl>
      <w:tblPr>
        <w:tblStyle w:val="afe"/>
        <w:tblW w:w="0" w:type="auto"/>
        <w:tblLook w:val="04A0" w:firstRow="1" w:lastRow="0" w:firstColumn="1" w:lastColumn="0" w:noHBand="0" w:noVBand="1"/>
      </w:tblPr>
      <w:tblGrid>
        <w:gridCol w:w="9496"/>
      </w:tblGrid>
      <w:tr w:rsidR="009C0430" w14:paraId="35B72B4D" w14:textId="77777777">
        <w:tc>
          <w:tcPr>
            <w:tcW w:w="9496" w:type="dxa"/>
          </w:tcPr>
          <w:p w14:paraId="0389FB5E"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Всеки кандидат, получил уведомително писмо от МИГ, че проектното му предложение не е одобрено или че е частично одобрено, има право да възрази пред УО на ОПРЧР в срок до 3 работни дни от датата на получаването на уведомлението.</w:t>
            </w:r>
          </w:p>
          <w:p w14:paraId="5F7CFDB8"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Възражението се подава на хартиен носител, подписано от поне едно от представляващите кандидата лица или упълномощено лице. В случая на упълномощаване, към възражението следва да се представи и нотариално заверено пълномощно. В случай, че кандидата се представлява заедно от няколко лица, възражението се подписва от всички представляващи. </w:t>
            </w:r>
          </w:p>
          <w:p w14:paraId="591E5B00"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Възражение може да се подава само срещу предложението на оценителната комисия за отхвърляне на съответното проектно предложение.</w:t>
            </w:r>
          </w:p>
          <w:p w14:paraId="7C960310"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 подаване на възражението не могат да се представят нови документи, които не са били част от първоначално представеното проектно предложение и/или допълнително изискана от оценителната комисия на съответния етап документация.</w:t>
            </w:r>
          </w:p>
          <w:p w14:paraId="22006484"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Не се разглеждат възражения, които са подадени извън регламентирания срок или от лица, различни от представляващите кандидата или упълномощени лица. За дата на подаване на възражението се счита датата на пощенското клеймо.</w:t>
            </w:r>
          </w:p>
          <w:p w14:paraId="041CDE6B"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Ръководителят на УО се произнася по основателността на възражението в срок до 10 работни </w:t>
            </w:r>
            <w:proofErr w:type="spellStart"/>
            <w:r>
              <w:rPr>
                <w:rFonts w:ascii="Times New Roman" w:eastAsia="Times New Roman" w:hAnsi="Times New Roman" w:cs="Times New Roman"/>
                <w:sz w:val="24"/>
                <w:szCs w:val="24"/>
                <w:lang w:eastAsia="bg-BG"/>
              </w:rPr>
              <w:t>дниот</w:t>
            </w:r>
            <w:proofErr w:type="spellEnd"/>
            <w:r>
              <w:rPr>
                <w:rFonts w:ascii="Times New Roman" w:eastAsia="Times New Roman" w:hAnsi="Times New Roman" w:cs="Times New Roman"/>
                <w:sz w:val="24"/>
                <w:szCs w:val="24"/>
                <w:lang w:eastAsia="bg-BG"/>
              </w:rPr>
              <w:t xml:space="preserve"> неговото получаване, като:</w:t>
            </w:r>
          </w:p>
          <w:p w14:paraId="628D66C4"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връща проектното предложение за повторно извършване на процедурата по оценка;</w:t>
            </w:r>
          </w:p>
          <w:p w14:paraId="65AC5A5F" w14:textId="77777777" w:rsidR="009C0430" w:rsidRDefault="00B27CD4">
            <w:pPr>
              <w:spacing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потвърждава предварителното решение на МИГ.</w:t>
            </w:r>
          </w:p>
          <w:p w14:paraId="2013E14E" w14:textId="77777777" w:rsidR="009C0430" w:rsidRDefault="00B27CD4">
            <w:pPr>
              <w:jc w:val="both"/>
              <w:rPr>
                <w:rFonts w:ascii="Times New Roman" w:eastAsia="Times New Roman" w:hAnsi="Times New Roman" w:cs="Times New Roman"/>
                <w:sz w:val="20"/>
                <w:szCs w:val="24"/>
                <w:lang w:eastAsia="bg-BG"/>
              </w:rPr>
            </w:pPr>
            <w:r>
              <w:rPr>
                <w:rFonts w:ascii="Times New Roman" w:eastAsia="Times New Roman" w:hAnsi="Times New Roman" w:cs="Times New Roman"/>
                <w:sz w:val="24"/>
                <w:szCs w:val="24"/>
                <w:lang w:eastAsia="bg-BG"/>
              </w:rPr>
              <w:t>УО уведомява кандидатите за основателността на техните възражения по реда на чл. 61 от Административнопроцесуалния кодекс.</w:t>
            </w:r>
          </w:p>
        </w:tc>
      </w:tr>
    </w:tbl>
    <w:p w14:paraId="4F050B21" w14:textId="77777777" w:rsidR="009C0430" w:rsidRDefault="00B27CD4">
      <w:pPr>
        <w:pStyle w:val="2"/>
      </w:pPr>
      <w:bookmarkStart w:id="114" w:name="_Toc445385632"/>
      <w:bookmarkStart w:id="115" w:name="_Toc488319675"/>
      <w:r>
        <w:lastRenderedPageBreak/>
        <w:t>24.7. Представяне на подкрепящи документи към момента на сключване на административен договор</w:t>
      </w:r>
      <w:bookmarkEnd w:id="114"/>
      <w:bookmarkEnd w:id="115"/>
    </w:p>
    <w:tbl>
      <w:tblPr>
        <w:tblStyle w:val="afe"/>
        <w:tblW w:w="0" w:type="auto"/>
        <w:tblLook w:val="04A0" w:firstRow="1" w:lastRow="0" w:firstColumn="1" w:lastColumn="0" w:noHBand="0" w:noVBand="1"/>
      </w:tblPr>
      <w:tblGrid>
        <w:gridCol w:w="9496"/>
      </w:tblGrid>
      <w:tr w:rsidR="009C0430" w14:paraId="328D9A73" w14:textId="77777777">
        <w:tc>
          <w:tcPr>
            <w:tcW w:w="9496" w:type="dxa"/>
          </w:tcPr>
          <w:p w14:paraId="0F88C8E2" w14:textId="77777777" w:rsidR="009C0430" w:rsidRDefault="00B27CD4">
            <w:pPr>
              <w:tabs>
                <w:tab w:val="left" w:pos="4820"/>
              </w:tabs>
              <w:spacing w:before="120" w:after="120" w:line="240" w:lineRule="exact"/>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u w:val="single"/>
                <w:lang w:eastAsia="bg-BG"/>
              </w:rPr>
              <w:t>I. Кандидатът трябва да представи следните документи:</w:t>
            </w:r>
          </w:p>
          <w:p w14:paraId="0D8F3C0E" w14:textId="77777777" w:rsidR="009C0430" w:rsidRDefault="00B27CD4">
            <w:pPr>
              <w:pStyle w:val="af5"/>
            </w:pPr>
            <w:r>
              <w:t xml:space="preserve">1. Удостоверение, потвърждаващо че кандидатът не е обявен в несъстоятелност и не е в производство по </w:t>
            </w:r>
            <w:proofErr w:type="spellStart"/>
            <w:r>
              <w:t>несъстоятелсност</w:t>
            </w:r>
            <w:proofErr w:type="spellEnd"/>
            <w:r>
              <w:t>, 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оценителната комисия извършва служебна проверка на обстоятелството по реда на чл. 23, ал. 6 от Закона за търговския регистър и РЮЛНЦ;</w:t>
            </w:r>
          </w:p>
          <w:p w14:paraId="4AFF902B" w14:textId="77777777" w:rsidR="009C0430" w:rsidRDefault="00B27CD4">
            <w:pPr>
              <w:pStyle w:val="af5"/>
            </w:pPr>
            <w:r>
              <w:t>Не е приложимо за бюджетни предприятия.</w:t>
            </w:r>
          </w:p>
          <w:p w14:paraId="494AAC78" w14:textId="77777777" w:rsidR="009C0430" w:rsidRDefault="00B27CD4">
            <w:pPr>
              <w:pStyle w:val="af5"/>
            </w:pPr>
            <w:r>
              <w:t>2. Удостоверение, потвърждаващо, че кандидатът не е обявен в процедура по ликвидация, 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оценителната комисия извършва служебна проверка на обстоятелството по реда на чл. 23, ал. 6 от Закона за търговския регистър и РЮЛНЦ;</w:t>
            </w:r>
          </w:p>
          <w:p w14:paraId="50C7522E" w14:textId="77777777" w:rsidR="009C0430" w:rsidRDefault="009C0430">
            <w:pPr>
              <w:pStyle w:val="af5"/>
            </w:pPr>
          </w:p>
          <w:p w14:paraId="09A89FB5" w14:textId="77777777" w:rsidR="009C0430" w:rsidRDefault="00B27CD4">
            <w:pPr>
              <w:tabs>
                <w:tab w:val="left" w:pos="360"/>
              </w:tabs>
              <w:spacing w:after="120"/>
              <w:jc w:val="both"/>
              <w:rPr>
                <w:rFonts w:ascii="Times New Roman" w:eastAsia="Times New Roman" w:hAnsi="Times New Roman" w:cs="Times New Roman"/>
                <w:sz w:val="24"/>
                <w:szCs w:val="20"/>
                <w:lang w:eastAsia="en-GB"/>
              </w:rPr>
            </w:pPr>
            <w:r>
              <w:rPr>
                <w:rFonts w:ascii="Times New Roman" w:eastAsia="Times New Roman" w:hAnsi="Times New Roman" w:cs="Times New Roman"/>
                <w:sz w:val="24"/>
                <w:szCs w:val="20"/>
                <w:lang w:eastAsia="en-GB"/>
              </w:rPr>
              <w:t>3. Нотариално заверено пълномощно (заверено копие на заповед за оправомощаване – когато е приложимо), в случаите, когато при сключване на административния договор кандидатът се представлява от лице, различно от законните му представители – оригинал или нотариално заверено копие.</w:t>
            </w:r>
          </w:p>
          <w:p w14:paraId="250392EF" w14:textId="77777777" w:rsidR="009C0430" w:rsidRDefault="00B27CD4">
            <w:pPr>
              <w:numPr>
                <w:ilvl w:val="0"/>
                <w:numId w:val="20"/>
              </w:numPr>
              <w:tabs>
                <w:tab w:val="left" w:pos="360"/>
              </w:tabs>
              <w:spacing w:after="120"/>
              <w:ind w:left="0" w:firstLine="0"/>
              <w:jc w:val="both"/>
              <w:rPr>
                <w:rFonts w:ascii="Times New Roman" w:eastAsia="Times New Roman" w:hAnsi="Times New Roman" w:cs="Times New Roman"/>
                <w:sz w:val="24"/>
                <w:szCs w:val="20"/>
                <w:lang w:eastAsia="en-GB"/>
              </w:rPr>
            </w:pPr>
            <w:r>
              <w:rPr>
                <w:rFonts w:ascii="Times New Roman" w:eastAsia="Times New Roman" w:hAnsi="Times New Roman" w:cs="Times New Roman"/>
                <w:sz w:val="24"/>
                <w:szCs w:val="24"/>
                <w:lang w:eastAsia="bg-BG"/>
              </w:rPr>
              <w:t>Заверено копие на заповед за оправомощаване за полагане на втори подпис при сключване на административния договор – когато е приложимо.</w:t>
            </w:r>
          </w:p>
          <w:p w14:paraId="1528ACCC" w14:textId="77777777" w:rsidR="009C0430" w:rsidRDefault="00B27CD4">
            <w:pPr>
              <w:pStyle w:val="af5"/>
            </w:pPr>
            <w:r>
              <w:t xml:space="preserve">5. Декларация за минимални и държавни помощи (Приложение ІІІ от документите за попълване към Условията за кандидатстване) – актуална декларация към момента на подписване на договор, оригинал, попълнена и подписана от поне едно </w:t>
            </w:r>
            <w:r>
              <w:lastRenderedPageBreak/>
              <w:t>от представляващите организацията лица/съответно от всички лица, които са овластени да представляват кандидата в случаите, в които кандидата се представлява само заедно. 6. Споразумение за партньорство (Приложение VІ от документите към административния договор и приложения към него) – когато е приложимо;</w:t>
            </w:r>
          </w:p>
          <w:p w14:paraId="5479DD02" w14:textId="77777777" w:rsidR="009C0430" w:rsidRDefault="00B27CD4">
            <w:pPr>
              <w:pStyle w:val="af5"/>
            </w:pPr>
            <w:r>
              <w:t>7.</w:t>
            </w:r>
            <w:r>
              <w:tab/>
              <w:t>Формуляр за финансова идентификация – Приложение VІІ от документите към административен договор и приложения към него – в 3 оригинални екземпляра.</w:t>
            </w:r>
          </w:p>
          <w:p w14:paraId="622079D4" w14:textId="77777777" w:rsidR="009C0430" w:rsidRDefault="00B27CD4">
            <w:pPr>
              <w:pStyle w:val="af5"/>
            </w:pPr>
            <w:r>
              <w:t>8.</w:t>
            </w:r>
            <w:r>
              <w:tab/>
              <w:t>Декларация относно произхода на финансовия принос на проекта (ако има съфинансиране по проекта) (Приложение VIIІ от документите към административен договор и приложения към него).</w:t>
            </w:r>
          </w:p>
          <w:p w14:paraId="12EEADA2" w14:textId="77777777" w:rsidR="009C0430" w:rsidRDefault="00B27CD4">
            <w:pPr>
              <w:pStyle w:val="af5"/>
            </w:pPr>
            <w:r>
              <w:t>9.</w:t>
            </w:r>
            <w:r>
              <w:tab/>
              <w:t>Декларация за нередности (Приложение ІХ от документите към административен договор и приложения към него) - оригинал, попълнена и подписана от всички лица, които са овластени да представляват кандидата, вписани като представляващи организацията в търговския регистър и РЮЛНЦ или определени като такива в учредителен акт, когато тези обстоятелства не подлежат на вписване;</w:t>
            </w:r>
          </w:p>
          <w:p w14:paraId="6987DDBD" w14:textId="77777777" w:rsidR="009C0430" w:rsidRDefault="00B27CD4">
            <w:pPr>
              <w:spacing w:after="360"/>
              <w:jc w:val="both"/>
              <w:rPr>
                <w:rFonts w:ascii="Times New Roman" w:eastAsia="Times New Roman" w:hAnsi="Times New Roman" w:cs="Times New Roman"/>
                <w:sz w:val="20"/>
                <w:szCs w:val="20"/>
                <w:lang w:eastAsia="bg-BG"/>
              </w:rPr>
            </w:pPr>
            <w:r>
              <w:rPr>
                <w:rFonts w:ascii="Times New Roman" w:eastAsia="Times New Roman" w:hAnsi="Times New Roman" w:cs="Times New Roman"/>
                <w:b/>
                <w:sz w:val="24"/>
                <w:szCs w:val="20"/>
                <w:u w:val="single"/>
                <w:lang w:eastAsia="en-GB"/>
              </w:rPr>
              <w:t xml:space="preserve">ВАЖНО! Декларацията за нередности и Декларация относно </w:t>
            </w:r>
            <w:r>
              <w:rPr>
                <w:rFonts w:ascii="Times New Roman" w:eastAsia="Times New Roman" w:hAnsi="Times New Roman" w:cs="Times New Roman"/>
                <w:b/>
                <w:sz w:val="24"/>
                <w:szCs w:val="24"/>
                <w:u w:val="single"/>
                <w:lang w:eastAsia="bg-BG"/>
              </w:rPr>
              <w:t>произхода на финансовия принос на проекта</w:t>
            </w:r>
            <w:r>
              <w:rPr>
                <w:rFonts w:ascii="Times New Roman" w:eastAsia="Times New Roman" w:hAnsi="Times New Roman" w:cs="Times New Roman"/>
                <w:b/>
                <w:sz w:val="24"/>
                <w:szCs w:val="20"/>
                <w:u w:val="single"/>
                <w:lang w:eastAsia="en-GB"/>
              </w:rPr>
              <w:t xml:space="preserve"> не могат да се подписват от упълномощени лица, а САМО от законните представители на кандидата.</w:t>
            </w:r>
          </w:p>
          <w:p w14:paraId="1C529D37" w14:textId="77777777" w:rsidR="009C0430" w:rsidRDefault="00B27CD4">
            <w:pPr>
              <w:pStyle w:val="af5"/>
            </w:pPr>
            <w:r>
              <w:t>10.</w:t>
            </w:r>
            <w:r>
              <w:tab/>
              <w:t xml:space="preserve">Удостоверение за липса на задължения от общината по седалището на </w:t>
            </w:r>
            <w:proofErr w:type="spellStart"/>
            <w:r>
              <w:t>кандидата,издадено</w:t>
            </w:r>
            <w:proofErr w:type="spellEnd"/>
            <w:r>
              <w:t xml:space="preserve"> не по-рано от 3 месеца преди датата на представянето му - копие, заверено от кандидата с подпис и текст „Вярно с оригинала”.</w:t>
            </w:r>
          </w:p>
          <w:p w14:paraId="2865FCA2" w14:textId="77777777" w:rsidR="009C0430" w:rsidRDefault="00B27CD4">
            <w:pPr>
              <w:pStyle w:val="af5"/>
            </w:pPr>
            <w:r>
              <w:t>11. Заявление за профил за достъп на ръководител на бенефициента до ИСУН 2020 и/или Заявление за профил за достъп на упълномощени от бенефициента лица до ИСУН 2020– подписани от лицето/ата, вписани като представляващи предприятието в търговския регистър и РЮЛНЦ или определени като такива в учредителен акт, когато тези обстоятелства не подлежат на вписване – Приложения към административния договор и приложения към него.</w:t>
            </w:r>
          </w:p>
          <w:p w14:paraId="6B99886C" w14:textId="77777777" w:rsidR="009C0430" w:rsidRDefault="00B27CD4">
            <w:pPr>
              <w:pStyle w:val="af5"/>
            </w:pPr>
            <w:r>
              <w:t>В случаите, когато една организация се представлява заедно от няколко лица, декларациите си подписват от всички.</w:t>
            </w:r>
          </w:p>
          <w:p w14:paraId="7C139290" w14:textId="77777777" w:rsidR="009C0430" w:rsidRDefault="00B27CD4">
            <w:pPr>
              <w:pStyle w:val="af5"/>
            </w:pPr>
            <w:r>
              <w:t>13. Анализ, обосноваващ попадането на общините извън обхвата на Регл. 1407/2013 г. /приложимо за общини/.</w:t>
            </w:r>
          </w:p>
          <w:p w14:paraId="15EA9DEB" w14:textId="77777777" w:rsidR="009C0430" w:rsidRDefault="00B27CD4">
            <w:pPr>
              <w:pStyle w:val="af5"/>
            </w:pPr>
            <w:r>
              <w:t>ІІ. Партньорът следва да представи следните документи:</w:t>
            </w:r>
          </w:p>
          <w:p w14:paraId="64B900BC" w14:textId="77777777" w:rsidR="009C0430" w:rsidRDefault="00B27CD4">
            <w:pPr>
              <w:tabs>
                <w:tab w:val="left" w:pos="360"/>
              </w:tabs>
              <w:spacing w:after="120"/>
              <w:jc w:val="both"/>
              <w:rPr>
                <w:rFonts w:ascii="Times New Roman" w:eastAsia="Times New Roman" w:hAnsi="Times New Roman" w:cs="Times New Roman"/>
                <w:sz w:val="24"/>
                <w:szCs w:val="20"/>
                <w:lang w:eastAsia="en-GB"/>
              </w:rPr>
            </w:pPr>
            <w:r>
              <w:rPr>
                <w:rFonts w:ascii="Times New Roman" w:eastAsia="Times New Roman" w:hAnsi="Times New Roman" w:cs="Times New Roman"/>
                <w:b/>
                <w:sz w:val="24"/>
                <w:szCs w:val="20"/>
                <w:lang w:eastAsia="en-GB"/>
              </w:rPr>
              <w:t>1.</w:t>
            </w:r>
            <w:r>
              <w:rPr>
                <w:rFonts w:ascii="Times New Roman" w:eastAsia="Times New Roman" w:hAnsi="Times New Roman" w:cs="Times New Roman"/>
                <w:sz w:val="24"/>
                <w:szCs w:val="20"/>
                <w:lang w:eastAsia="en-GB"/>
              </w:rPr>
              <w:t>Удостоверение, потвърждаващо че партньорът не е обявен в несъстоятелност и не е в производство по несъстоятелност, издадено от съответния съд не по-рано от 3 месеца преди датата на предоставянето им от партньора - копие, заверено от партньора с подпис и текст „Вярно с оригинала”. В случай, че партньорът е регистриран по Закона за Търговския регистър и РЮЛНЦ, се извършва служебна проверка на обстоятелството по реда на чл. 23, ал. 6 от Закона за търговския регистър и РЮЛНЦ.</w:t>
            </w:r>
          </w:p>
          <w:p w14:paraId="285E0743" w14:textId="77777777" w:rsidR="009C0430" w:rsidRDefault="00B27CD4">
            <w:pPr>
              <w:tabs>
                <w:tab w:val="left" w:pos="360"/>
              </w:tabs>
              <w:spacing w:after="120"/>
              <w:jc w:val="both"/>
              <w:rPr>
                <w:rFonts w:ascii="Times New Roman" w:eastAsia="Times New Roman" w:hAnsi="Times New Roman" w:cs="Times New Roman"/>
                <w:sz w:val="24"/>
                <w:szCs w:val="20"/>
                <w:lang w:eastAsia="en-GB"/>
              </w:rPr>
            </w:pPr>
            <w:r>
              <w:rPr>
                <w:rFonts w:ascii="Times New Roman" w:eastAsia="Times New Roman" w:hAnsi="Times New Roman" w:cs="Times New Roman"/>
                <w:i/>
                <w:sz w:val="24"/>
                <w:szCs w:val="20"/>
                <w:lang w:eastAsia="en-GB"/>
              </w:rPr>
              <w:t>Не е приложимо за бюджетни предприятия</w:t>
            </w:r>
            <w:r>
              <w:rPr>
                <w:rFonts w:ascii="Times New Roman" w:eastAsia="Times New Roman" w:hAnsi="Times New Roman" w:cs="Times New Roman"/>
                <w:sz w:val="24"/>
                <w:szCs w:val="20"/>
                <w:lang w:eastAsia="en-GB"/>
              </w:rPr>
              <w:t>.</w:t>
            </w:r>
          </w:p>
          <w:p w14:paraId="3A495C73" w14:textId="77777777" w:rsidR="009C0430" w:rsidRDefault="00B27CD4">
            <w:pPr>
              <w:tabs>
                <w:tab w:val="left" w:pos="360"/>
              </w:tabs>
              <w:spacing w:after="120"/>
              <w:jc w:val="both"/>
              <w:rPr>
                <w:rFonts w:ascii="Times New Roman" w:eastAsia="Times New Roman" w:hAnsi="Times New Roman" w:cs="Times New Roman"/>
                <w:sz w:val="24"/>
                <w:szCs w:val="20"/>
                <w:lang w:eastAsia="en-GB"/>
              </w:rPr>
            </w:pPr>
            <w:r>
              <w:rPr>
                <w:rFonts w:ascii="Times New Roman" w:eastAsia="Times New Roman" w:hAnsi="Times New Roman" w:cs="Times New Roman"/>
                <w:b/>
                <w:sz w:val="24"/>
                <w:szCs w:val="20"/>
                <w:lang w:eastAsia="en-GB"/>
              </w:rPr>
              <w:t>2.</w:t>
            </w:r>
            <w:r>
              <w:rPr>
                <w:rFonts w:ascii="Times New Roman" w:eastAsia="Times New Roman" w:hAnsi="Times New Roman" w:cs="Times New Roman"/>
                <w:sz w:val="24"/>
                <w:szCs w:val="20"/>
                <w:lang w:eastAsia="en-GB"/>
              </w:rPr>
              <w:t xml:space="preserve"> Удостоверение, потвърждаващо че партньорът не е обявен в процедура по ликвидация, </w:t>
            </w:r>
            <w:r>
              <w:rPr>
                <w:rFonts w:ascii="Times New Roman" w:eastAsia="Times New Roman" w:hAnsi="Times New Roman" w:cs="Times New Roman"/>
                <w:sz w:val="24"/>
                <w:szCs w:val="20"/>
                <w:lang w:eastAsia="en-GB"/>
              </w:rPr>
              <w:lastRenderedPageBreak/>
              <w:t>издадено от съответния съд не по-рано от 3 месеца преди датата на предоставянето им от партньора - копие, заверено от партньора с подпис и текст „Вярно с оригинала”. В случай, че партньорът е регистриран по Закона за Търговския регистър и РЮЛНЦ, се извършва служебна проверка на обстоятелството по реда на чл. 23, ал. 6 от Закона за търговския регистър и РЮЛНЦ.</w:t>
            </w:r>
          </w:p>
          <w:p w14:paraId="2B6C69B7" w14:textId="77777777" w:rsidR="009C0430" w:rsidRDefault="00B27CD4">
            <w:pPr>
              <w:tabs>
                <w:tab w:val="left" w:pos="426"/>
              </w:tabs>
              <w:spacing w:after="120"/>
              <w:jc w:val="both"/>
              <w:rPr>
                <w:rFonts w:ascii="Times New Roman" w:eastAsia="Times New Roman" w:hAnsi="Times New Roman" w:cs="Times New Roman"/>
                <w:sz w:val="24"/>
                <w:szCs w:val="20"/>
                <w:lang w:eastAsia="en-GB"/>
              </w:rPr>
            </w:pPr>
            <w:r>
              <w:rPr>
                <w:rFonts w:ascii="Times New Roman" w:eastAsia="Times New Roman" w:hAnsi="Times New Roman" w:cs="Times New Roman"/>
                <w:i/>
                <w:sz w:val="24"/>
                <w:szCs w:val="20"/>
                <w:lang w:eastAsia="en-GB"/>
              </w:rPr>
              <w:t>Не е приложимо за бюджетни предприятия</w:t>
            </w:r>
            <w:r>
              <w:rPr>
                <w:rFonts w:ascii="Times New Roman" w:eastAsia="Times New Roman" w:hAnsi="Times New Roman" w:cs="Times New Roman"/>
                <w:sz w:val="24"/>
                <w:szCs w:val="20"/>
                <w:lang w:eastAsia="en-GB"/>
              </w:rPr>
              <w:t>.</w:t>
            </w:r>
          </w:p>
          <w:p w14:paraId="79206552" w14:textId="77777777" w:rsidR="009C0430" w:rsidRDefault="009C0430">
            <w:pPr>
              <w:tabs>
                <w:tab w:val="left" w:pos="360"/>
              </w:tabs>
              <w:spacing w:after="120"/>
              <w:jc w:val="both"/>
              <w:rPr>
                <w:rFonts w:ascii="Times New Roman" w:eastAsia="Times New Roman" w:hAnsi="Times New Roman" w:cs="Times New Roman"/>
                <w:sz w:val="24"/>
                <w:szCs w:val="20"/>
                <w:lang w:eastAsia="en-GB"/>
              </w:rPr>
            </w:pPr>
          </w:p>
          <w:p w14:paraId="6ADC04CE" w14:textId="77777777" w:rsidR="009C0430" w:rsidRDefault="00B27CD4">
            <w:pPr>
              <w:tabs>
                <w:tab w:val="left" w:pos="0"/>
                <w:tab w:val="left" w:pos="567"/>
              </w:tabs>
              <w:spacing w:after="240"/>
              <w:jc w:val="both"/>
              <w:rPr>
                <w:rFonts w:ascii="Times New Roman" w:eastAsia="Times New Roman" w:hAnsi="Times New Roman" w:cs="Times New Roman"/>
                <w:sz w:val="24"/>
                <w:szCs w:val="20"/>
                <w:lang w:eastAsia="en-GB"/>
              </w:rPr>
            </w:pPr>
            <w:r>
              <w:rPr>
                <w:rFonts w:ascii="Times New Roman" w:eastAsia="Times New Roman" w:hAnsi="Times New Roman" w:cs="Times New Roman"/>
                <w:b/>
                <w:sz w:val="24"/>
                <w:szCs w:val="20"/>
                <w:lang w:eastAsia="en-GB"/>
              </w:rPr>
              <w:t>3.</w:t>
            </w:r>
            <w:r>
              <w:rPr>
                <w:rFonts w:ascii="Times New Roman" w:eastAsia="Times New Roman" w:hAnsi="Times New Roman" w:cs="Times New Roman"/>
                <w:sz w:val="24"/>
                <w:szCs w:val="20"/>
                <w:lang w:eastAsia="en-GB"/>
              </w:rPr>
              <w:t>Декларация за минимални и държавни помощи (</w:t>
            </w:r>
            <w:r>
              <w:rPr>
                <w:rFonts w:ascii="Times New Roman" w:eastAsia="Times New Roman" w:hAnsi="Times New Roman" w:cs="Times New Roman"/>
                <w:b/>
                <w:sz w:val="24"/>
                <w:szCs w:val="20"/>
                <w:lang w:eastAsia="en-GB"/>
              </w:rPr>
              <w:t>Приложение III</w:t>
            </w:r>
            <w:r>
              <w:rPr>
                <w:rFonts w:ascii="Times New Roman" w:eastAsia="Times New Roman" w:hAnsi="Times New Roman" w:cs="Times New Roman"/>
                <w:sz w:val="24"/>
                <w:szCs w:val="20"/>
                <w:lang w:eastAsia="en-GB"/>
              </w:rPr>
              <w:t xml:space="preserve"> от документите за попълване към Условията за кандидатстване) – </w:t>
            </w:r>
            <w:r>
              <w:rPr>
                <w:rFonts w:ascii="Times New Roman" w:eastAsia="Times New Roman" w:hAnsi="Times New Roman" w:cs="Times New Roman"/>
                <w:i/>
                <w:sz w:val="24"/>
                <w:szCs w:val="20"/>
                <w:lang w:eastAsia="en-GB"/>
              </w:rPr>
              <w:t>актуална декларация към момента на подписване на договор,</w:t>
            </w:r>
            <w:r>
              <w:rPr>
                <w:rFonts w:ascii="Times New Roman" w:eastAsia="Times New Roman" w:hAnsi="Times New Roman" w:cs="Times New Roman"/>
                <w:sz w:val="24"/>
                <w:szCs w:val="20"/>
                <w:lang w:eastAsia="en-GB"/>
              </w:rPr>
              <w:t>- оригинал, попълнена и подписана от поне едно от представляващите организацията лица/съответно от всички лица, които са овластени да представляват кандидата в случаите, в които кандидата се представлява само заедно.</w:t>
            </w:r>
          </w:p>
          <w:p w14:paraId="15B14328" w14:textId="77777777" w:rsidR="009C0430" w:rsidRDefault="00B27CD4">
            <w:pPr>
              <w:tabs>
                <w:tab w:val="left" w:pos="0"/>
                <w:tab w:val="left" w:pos="426"/>
              </w:tabs>
              <w:spacing w:after="120"/>
              <w:jc w:val="both"/>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4.</w:t>
            </w:r>
            <w:r>
              <w:rPr>
                <w:rFonts w:ascii="Times New Roman" w:eastAsia="Times New Roman" w:hAnsi="Times New Roman" w:cs="Times New Roman"/>
                <w:sz w:val="24"/>
                <w:szCs w:val="20"/>
                <w:lang w:eastAsia="en-GB"/>
              </w:rPr>
              <w:t>Декларация за нередности (</w:t>
            </w:r>
            <w:r>
              <w:rPr>
                <w:rFonts w:ascii="Times New Roman" w:eastAsia="Times New Roman" w:hAnsi="Times New Roman" w:cs="Times New Roman"/>
                <w:b/>
                <w:sz w:val="24"/>
                <w:szCs w:val="20"/>
                <w:lang w:eastAsia="en-GB"/>
              </w:rPr>
              <w:t xml:space="preserve">Приложение </w:t>
            </w:r>
            <w:r>
              <w:rPr>
                <w:rFonts w:ascii="Times New Roman" w:eastAsia="Times New Roman" w:hAnsi="Times New Roman" w:cs="Times New Roman"/>
                <w:b/>
                <w:sz w:val="24"/>
                <w:szCs w:val="20"/>
                <w:lang w:val="en-US" w:eastAsia="en-GB"/>
              </w:rPr>
              <w:t>I</w:t>
            </w:r>
            <w:r>
              <w:rPr>
                <w:rFonts w:ascii="Times New Roman" w:eastAsia="Times New Roman" w:hAnsi="Times New Roman" w:cs="Times New Roman"/>
                <w:b/>
                <w:sz w:val="24"/>
                <w:szCs w:val="20"/>
                <w:lang w:eastAsia="en-GB"/>
              </w:rPr>
              <w:t>Х</w:t>
            </w:r>
            <w:r>
              <w:rPr>
                <w:rFonts w:ascii="Times New Roman" w:eastAsia="Times New Roman" w:hAnsi="Times New Roman" w:cs="Times New Roman"/>
                <w:sz w:val="24"/>
                <w:szCs w:val="24"/>
                <w:lang w:eastAsia="bg-BG"/>
              </w:rPr>
              <w:t xml:space="preserve"> от документите към административен договор и приложения към него</w:t>
            </w:r>
            <w:r>
              <w:rPr>
                <w:rFonts w:ascii="Times New Roman" w:eastAsia="Times New Roman" w:hAnsi="Times New Roman" w:cs="Times New Roman"/>
                <w:sz w:val="24"/>
                <w:szCs w:val="20"/>
                <w:lang w:eastAsia="en-GB"/>
              </w:rPr>
              <w:t>) - ) - оригинал, попълнена и подписана от всички лица, които са овластени да представляват партньора, вписани като представляващи организацията в търговския регистър и РЮЛНЦ или определени като такива в учредителен акт, когато тези обстоятелства не подлежат на вписване;</w:t>
            </w:r>
          </w:p>
          <w:p w14:paraId="4C6A13CC" w14:textId="77777777" w:rsidR="009C0430" w:rsidRDefault="00B27CD4">
            <w:pPr>
              <w:spacing w:after="120"/>
              <w:jc w:val="both"/>
              <w:rPr>
                <w:rFonts w:ascii="Times New Roman" w:eastAsia="Times New Roman" w:hAnsi="Times New Roman" w:cs="Times New Roman"/>
                <w:b/>
                <w:sz w:val="24"/>
                <w:szCs w:val="20"/>
                <w:u w:val="single"/>
                <w:lang w:eastAsia="en-GB"/>
              </w:rPr>
            </w:pPr>
            <w:r>
              <w:rPr>
                <w:rFonts w:ascii="Times New Roman" w:eastAsia="Times New Roman" w:hAnsi="Times New Roman" w:cs="Times New Roman"/>
                <w:b/>
                <w:sz w:val="24"/>
                <w:szCs w:val="20"/>
                <w:u w:val="single"/>
                <w:lang w:eastAsia="en-GB"/>
              </w:rPr>
              <w:t>ВАЖНО! Декларацията за нередности не може да се подписва от упълномощени лица, а САМО от законните представители на организацията.</w:t>
            </w:r>
          </w:p>
          <w:p w14:paraId="1C8650C7" w14:textId="77777777" w:rsidR="009C0430" w:rsidRDefault="00B27CD4">
            <w:pPr>
              <w:spacing w:after="120"/>
              <w:jc w:val="both"/>
              <w:rPr>
                <w:rFonts w:ascii="Times New Roman" w:eastAsia="Times New Roman" w:hAnsi="Times New Roman" w:cs="Times New Roman"/>
                <w:b/>
                <w:sz w:val="24"/>
                <w:szCs w:val="20"/>
                <w:u w:val="single"/>
                <w:lang w:eastAsia="en-GB"/>
              </w:rPr>
            </w:pPr>
            <w:r>
              <w:rPr>
                <w:rFonts w:ascii="Times New Roman" w:eastAsia="Times New Roman" w:hAnsi="Times New Roman" w:cs="Times New Roman"/>
                <w:b/>
                <w:sz w:val="24"/>
                <w:szCs w:val="20"/>
                <w:lang w:eastAsia="en-GB"/>
              </w:rPr>
              <w:t xml:space="preserve">5. </w:t>
            </w:r>
            <w:r>
              <w:rPr>
                <w:rFonts w:ascii="Times New Roman" w:eastAsia="Times New Roman" w:hAnsi="Times New Roman" w:cs="Times New Roman"/>
                <w:sz w:val="24"/>
                <w:szCs w:val="20"/>
                <w:lang w:eastAsia="en-GB"/>
              </w:rPr>
              <w:t xml:space="preserve">Удостоверение за липса на задължения от общината по седалището на партньора - издадено не по-рано от 3 месеца преди датата на представянето му - копие, заверено от кандидата с подпис и текст „Вярно с </w:t>
            </w:r>
            <w:proofErr w:type="spellStart"/>
            <w:r>
              <w:rPr>
                <w:rFonts w:ascii="Times New Roman" w:eastAsia="Times New Roman" w:hAnsi="Times New Roman" w:cs="Times New Roman"/>
                <w:sz w:val="24"/>
                <w:szCs w:val="20"/>
                <w:lang w:eastAsia="en-GB"/>
              </w:rPr>
              <w:t>оригинала”.За</w:t>
            </w:r>
            <w:proofErr w:type="spellEnd"/>
            <w:r>
              <w:rPr>
                <w:rFonts w:ascii="Times New Roman" w:eastAsia="Times New Roman" w:hAnsi="Times New Roman" w:cs="Times New Roman"/>
                <w:sz w:val="24"/>
                <w:szCs w:val="20"/>
                <w:lang w:eastAsia="en-GB"/>
              </w:rPr>
              <w:t xml:space="preserve"> партньорите, чието седалище е на територията на Столична община, УО ще извърши служебна проверка.</w:t>
            </w:r>
          </w:p>
          <w:p w14:paraId="67D5A9B3" w14:textId="77777777" w:rsidR="009C0430" w:rsidRDefault="00B27CD4">
            <w:pPr>
              <w:spacing w:after="120"/>
              <w:jc w:val="both"/>
              <w:rPr>
                <w:rFonts w:ascii="Times New Roman" w:eastAsia="Times New Roman" w:hAnsi="Times New Roman" w:cs="Times New Roman"/>
                <w:b/>
                <w:sz w:val="24"/>
                <w:szCs w:val="20"/>
                <w:u w:val="single"/>
                <w:lang w:eastAsia="en-GB"/>
              </w:rPr>
            </w:pPr>
            <w:r>
              <w:rPr>
                <w:rFonts w:ascii="Times New Roman" w:eastAsia="Times New Roman" w:hAnsi="Times New Roman" w:cs="Times New Roman"/>
                <w:b/>
                <w:sz w:val="24"/>
                <w:szCs w:val="20"/>
                <w:lang w:eastAsia="en-GB"/>
              </w:rPr>
              <w:t xml:space="preserve">7. </w:t>
            </w:r>
            <w:r>
              <w:rPr>
                <w:rFonts w:ascii="Times New Roman" w:eastAsia="Times New Roman" w:hAnsi="Times New Roman" w:cs="Times New Roman"/>
                <w:sz w:val="24"/>
                <w:szCs w:val="20"/>
                <w:lang w:eastAsia="en-GB"/>
              </w:rPr>
              <w:t>Декларация относно произхода на финансовия принос на проекта, в случай, че участва със съфинансиране (ако е приложимо)(</w:t>
            </w:r>
            <w:r>
              <w:rPr>
                <w:rFonts w:ascii="Times New Roman" w:eastAsia="Times New Roman" w:hAnsi="Times New Roman" w:cs="Times New Roman"/>
                <w:b/>
                <w:sz w:val="24"/>
                <w:szCs w:val="20"/>
                <w:lang w:eastAsia="en-GB"/>
              </w:rPr>
              <w:t>Приложение VIIІ</w:t>
            </w:r>
            <w:r>
              <w:rPr>
                <w:rFonts w:ascii="Times New Roman" w:eastAsia="Times New Roman" w:hAnsi="Times New Roman" w:cs="Times New Roman"/>
                <w:sz w:val="24"/>
                <w:szCs w:val="20"/>
                <w:lang w:eastAsia="en-GB"/>
              </w:rPr>
              <w:t xml:space="preserve"> от документите към административен договор и приложения към него). </w:t>
            </w:r>
          </w:p>
          <w:p w14:paraId="0ADC15D7" w14:textId="77777777" w:rsidR="009C0430" w:rsidRDefault="00B27CD4">
            <w:pPr>
              <w:tabs>
                <w:tab w:val="left" w:pos="284"/>
              </w:tabs>
              <w:spacing w:after="240"/>
              <w:jc w:val="both"/>
              <w:rPr>
                <w:rFonts w:ascii="Times New Roman" w:eastAsia="Times New Roman" w:hAnsi="Times New Roman" w:cs="Times New Roman"/>
                <w:sz w:val="24"/>
                <w:szCs w:val="20"/>
                <w:lang w:eastAsia="en-GB"/>
              </w:rPr>
            </w:pPr>
            <w:r>
              <w:rPr>
                <w:rFonts w:ascii="Times New Roman" w:eastAsia="Times New Roman" w:hAnsi="Times New Roman" w:cs="Times New Roman"/>
                <w:b/>
                <w:sz w:val="24"/>
                <w:szCs w:val="20"/>
                <w:lang w:eastAsia="en-GB"/>
              </w:rPr>
              <w:t xml:space="preserve">8. </w:t>
            </w:r>
            <w:r>
              <w:rPr>
                <w:rFonts w:ascii="Times New Roman" w:eastAsia="Times New Roman" w:hAnsi="Times New Roman" w:cs="Times New Roman"/>
                <w:sz w:val="24"/>
                <w:szCs w:val="20"/>
                <w:lang w:eastAsia="en-GB"/>
              </w:rPr>
              <w:t xml:space="preserve"> Анализ, обосноваващ попадането на общините извън обхвата на Регл. 1407/2013 г. /приложимо за общини/.</w:t>
            </w:r>
          </w:p>
          <w:p w14:paraId="383E9C78" w14:textId="77777777" w:rsidR="009C0430" w:rsidRDefault="00B27CD4">
            <w:pPr>
              <w:tabs>
                <w:tab w:val="left" w:pos="360"/>
              </w:tabs>
              <w:spacing w:after="36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 случаите, когато една организация се представлява заедно от няколко лица, декларациите си подписват от всички.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265"/>
            </w:tblGrid>
            <w:tr w:rsidR="009C0430" w14:paraId="585CC4C0" w14:textId="77777777">
              <w:tc>
                <w:tcPr>
                  <w:tcW w:w="9265" w:type="dxa"/>
                  <w:shd w:val="clear" w:color="auto" w:fill="F2F2F2"/>
                </w:tcPr>
                <w:p w14:paraId="55056662" w14:textId="77777777" w:rsidR="009C0430" w:rsidRDefault="00B27CD4">
                  <w:pPr>
                    <w:tabs>
                      <w:tab w:val="left" w:pos="360"/>
                    </w:tabs>
                    <w:spacing w:after="120" w:line="240" w:lineRule="auto"/>
                    <w:jc w:val="both"/>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Преди сключване на административен договор УО извършва следните служебни проверки:</w:t>
                  </w:r>
                </w:p>
                <w:p w14:paraId="4B359FAF"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1. Проверка за задължения за данъци и задължителни осигурителни вноски по смисъла на чл. 162, ал. 2, т. 1 от Данъчно-осигурителния процесуален кодекс и лихвите по тях към </w:t>
                  </w:r>
                  <w:proofErr w:type="spellStart"/>
                  <w:r>
                    <w:rPr>
                      <w:rFonts w:ascii="Times New Roman" w:eastAsia="Times New Roman" w:hAnsi="Times New Roman" w:cs="Times New Roman"/>
                      <w:color w:val="000000"/>
                      <w:sz w:val="24"/>
                      <w:szCs w:val="24"/>
                      <w:lang w:eastAsia="bg-BG"/>
                    </w:rPr>
                    <w:t>държавата.Извършва</w:t>
                  </w:r>
                  <w:proofErr w:type="spellEnd"/>
                  <w:r>
                    <w:rPr>
                      <w:rFonts w:ascii="Times New Roman" w:eastAsia="Times New Roman" w:hAnsi="Times New Roman" w:cs="Times New Roman"/>
                      <w:color w:val="000000"/>
                      <w:sz w:val="24"/>
                      <w:szCs w:val="24"/>
                      <w:lang w:eastAsia="bg-BG"/>
                    </w:rPr>
                    <w:t xml:space="preserve"> се по отношение на кандидата и партньорите.</w:t>
                  </w:r>
                </w:p>
                <w:p w14:paraId="633BCD7F"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Проверка за липсва на задължения за местни данъци и такси към Столична община, извършва се по отношение на кандидати и партньорите.</w:t>
                  </w:r>
                </w:p>
                <w:p w14:paraId="08476193"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3. Проверка относно обстоятелствата по чл. 54, ал.1, т. 6 от ЗОП. Проверката се извършва по отношение на кандидата и партньорите чрез изискване на информация от </w:t>
                  </w:r>
                  <w:r>
                    <w:rPr>
                      <w:rFonts w:ascii="Times New Roman" w:eastAsia="Times New Roman" w:hAnsi="Times New Roman" w:cs="Times New Roman"/>
                      <w:color w:val="000000"/>
                      <w:sz w:val="24"/>
                      <w:szCs w:val="24"/>
                      <w:lang w:eastAsia="bg-BG"/>
                    </w:rPr>
                    <w:lastRenderedPageBreak/>
                    <w:t>ИА „Главна инспекция по труда“.</w:t>
                  </w:r>
                </w:p>
                <w:p w14:paraId="3576EF1D"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4. Проверка чрез издаване на електронно свидетелство за съдимост на всички лица, които са овластени да представляват кандидата и партньорите, независимо дали го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2EBFF38B" w14:textId="77777777" w:rsidR="009C0430" w:rsidRDefault="00B27CD4">
                  <w:pPr>
                    <w:autoSpaceDE w:val="0"/>
                    <w:autoSpaceDN w:val="0"/>
                    <w:adjustRightInd w:val="0"/>
                    <w:spacing w:after="120" w:line="240" w:lineRule="auto"/>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Електронното служебно свидетелство за съдимост се издава за лица, за които не са съставяни бюлетини за съдимост, включително и по чл. 78а НК. В останалите случаи, както и за лицата, родени в чужбина, свидетелство за съдимост се издава по общоустановения ред.</w:t>
                  </w:r>
                </w:p>
                <w:p w14:paraId="14EEE454"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Когато кандидатът се представлява от чуждестранно лице, следва да се представи свидетелство за съдимост, издадено от компетентен орган, съгласно законодателството на държавата, в която е установено. </w:t>
                  </w:r>
                </w:p>
                <w:p w14:paraId="2BBA3346"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Съгласно т. 15. от ДР на ЗОП "Законодателство на държавата, в която кандидатът или участникът е установен" е:</w:t>
                  </w:r>
                </w:p>
                <w:p w14:paraId="214DC638"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а) за физическите лица - отечественото им право по смисъла на чл. 48 от Кодекса на международното частно право;</w:t>
                  </w:r>
                </w:p>
                <w:p w14:paraId="3FBA1841"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Съгласно чл. 48 от КМЧП, ал. 1 По смисъла на този кодекс отечествено право на лицето е правото на държавата, чийто гражданин е то.</w:t>
                  </w:r>
                </w:p>
                <w:p w14:paraId="61413B25"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(2) Отечествено право на лице с две или повече </w:t>
                  </w:r>
                  <w:proofErr w:type="spellStart"/>
                  <w:r>
                    <w:rPr>
                      <w:rFonts w:ascii="Times New Roman" w:eastAsia="Times New Roman" w:hAnsi="Times New Roman" w:cs="Times New Roman"/>
                      <w:color w:val="000000"/>
                      <w:sz w:val="24"/>
                      <w:szCs w:val="24"/>
                      <w:lang w:eastAsia="bg-BG"/>
                    </w:rPr>
                    <w:t>гражданства</w:t>
                  </w:r>
                  <w:proofErr w:type="spellEnd"/>
                  <w:r>
                    <w:rPr>
                      <w:rFonts w:ascii="Times New Roman" w:eastAsia="Times New Roman" w:hAnsi="Times New Roman" w:cs="Times New Roman"/>
                      <w:color w:val="000000"/>
                      <w:sz w:val="24"/>
                      <w:szCs w:val="24"/>
                      <w:lang w:eastAsia="bg-BG"/>
                    </w:rPr>
                    <w:t>, едното от които е българско, е българското право.</w:t>
                  </w:r>
                </w:p>
                <w:p w14:paraId="1E86E9DD"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Отечествено право на лице, което е гражданин на две или повече чужди държави, е правото на тази от тях, в която е неговото обичайно местопребиваване. Когато лицето няма обичайно местопребиваване в нито една държава, на която то е гражданин, прилага се правото на държавата, с която то е в най-тясна връзка.</w:t>
                  </w:r>
                </w:p>
                <w:p w14:paraId="38C67A95"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 По смисъла на този кодекс отечествено право на лице без гражданство е правото на държавата, в която е неговото обичайно местопребиваване.</w:t>
                  </w:r>
                </w:p>
                <w:p w14:paraId="315981EB"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 По смисъла на този кодекс отечествено право на лице със статут на бежанец и на лице, на което е предоставено убежище, е правото на държавата, в която е неговото обичайно местопребиваване.</w:t>
                  </w:r>
                </w:p>
                <w:p w14:paraId="51D9DB67"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(6) Когато в случаите по ал. 3, 4 и 5 лицето няма обичайно местопребиваване или такова не може да се установи, прилага се правото на държавата, с която лицето се намира в най-тясна връзка.</w:t>
                  </w:r>
                </w:p>
                <w:p w14:paraId="2DC2DFC0"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(7) По смисъла на този кодекс под обичайно местопребиваване на физическо лице се разбира мястото, в което то се е установило преимуществено да живее, без това да е свързано с необходимост от регистрация или разрешение за пребиваване или установяване. За определянето на това място трябва да бъдат специално съобразени обстоятелства от личен или професионален характер, които произтичат от трайни връзки на лицето с това място или от намерението му да създаде такива връзки.</w:t>
                  </w:r>
                </w:p>
                <w:p w14:paraId="280EA0B8"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За да бъдат валидни в България и да могат да послужат пред българските институции, издадените от друга държава документи следва да бъдат допълнително оформени по определен начин, съгласно посочените изисквания на страницата на Министерство на </w:t>
                  </w:r>
                  <w:r>
                    <w:rPr>
                      <w:rFonts w:ascii="Times New Roman" w:eastAsia="Times New Roman" w:hAnsi="Times New Roman" w:cs="Times New Roman"/>
                      <w:color w:val="000000"/>
                      <w:sz w:val="24"/>
                      <w:szCs w:val="24"/>
                      <w:lang w:eastAsia="bg-BG"/>
                    </w:rPr>
                    <w:lastRenderedPageBreak/>
                    <w:t>външните работи на Република България: http://www.mfa.bg/bg/pages/51/index.html.</w:t>
                  </w:r>
                </w:p>
                <w:p w14:paraId="54386FC2"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 Проверка за липса на задължения въз основа на неизпълнение на договор за предоставяне на финансови средства по друга схема за финансиране по ОП РЧР 2007-2013 г., ОП РЧР 2014-2020 и/или програма ФАР към ИА МТСП.</w:t>
                  </w:r>
                </w:p>
                <w:p w14:paraId="1424592B" w14:textId="77777777" w:rsidR="009C0430" w:rsidRDefault="00B27CD4">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6. Проверка за липса на двойно финансиране</w:t>
                  </w:r>
                </w:p>
                <w:p w14:paraId="517D8B7B" w14:textId="77777777" w:rsidR="009C0430" w:rsidRDefault="009C0430">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p>
              </w:tc>
            </w:tr>
          </w:tbl>
          <w:p w14:paraId="79F4D622" w14:textId="77777777" w:rsidR="009C0430" w:rsidRDefault="00B27CD4">
            <w:pPr>
              <w:pStyle w:val="Default"/>
              <w:spacing w:before="120" w:after="120"/>
              <w:jc w:val="both"/>
              <w:rPr>
                <w:b/>
              </w:rPr>
            </w:pPr>
            <w:r>
              <w:rPr>
                <w:b/>
              </w:rPr>
              <w:lastRenderedPageBreak/>
              <w:t xml:space="preserve">В процеса на подготовка на договора за предоставяне на безвъзмездна финансова помощ, Управляващият </w:t>
            </w:r>
            <w:proofErr w:type="spellStart"/>
            <w:r>
              <w:rPr>
                <w:b/>
              </w:rPr>
              <w:t>органили</w:t>
            </w:r>
            <w:proofErr w:type="spellEnd"/>
            <w:r>
              <w:rPr>
                <w:b/>
              </w:rPr>
              <w:t xml:space="preserve"> негов изпълнител, отговорен за тази проверка ще извърши проверка относно достоверността на обстоятелствата, декларирани от кандидата и неговите партньори (ако е приложимо) в Декларацията за минимални и държавни помощи.</w:t>
            </w:r>
          </w:p>
          <w:p w14:paraId="40C7D521" w14:textId="77777777" w:rsidR="009C0430" w:rsidRDefault="00B27CD4">
            <w:pPr>
              <w:pStyle w:val="Default"/>
              <w:spacing w:before="120" w:after="120"/>
              <w:jc w:val="both"/>
              <w:rPr>
                <w:b/>
              </w:rPr>
            </w:pPr>
            <w:r>
              <w:rPr>
                <w:b/>
              </w:rPr>
              <w:t>Във връзка с проверката на обстоятелствата по чл. 2, ал. 2 на Регламент (ЕС) № 1407/2013 („едно и също предприятие”), Управляващият орган може да изиска от Кандидата/партньора/</w:t>
            </w:r>
            <w:proofErr w:type="spellStart"/>
            <w:r>
              <w:rPr>
                <w:b/>
              </w:rPr>
              <w:t>ите</w:t>
            </w:r>
            <w:proofErr w:type="spellEnd"/>
            <w:r>
              <w:rPr>
                <w:b/>
              </w:rPr>
              <w:t xml:space="preserve"> някои от следните документи:</w:t>
            </w:r>
          </w:p>
          <w:p w14:paraId="4D4839B7" w14:textId="77777777" w:rsidR="009C0430" w:rsidRDefault="00B27CD4">
            <w:pPr>
              <w:pStyle w:val="Default"/>
              <w:numPr>
                <w:ilvl w:val="1"/>
                <w:numId w:val="21"/>
              </w:numPr>
              <w:spacing w:before="120" w:after="120"/>
              <w:jc w:val="both"/>
              <w:rPr>
                <w:b/>
              </w:rPr>
            </w:pPr>
            <w:r>
              <w:rPr>
                <w:b/>
              </w:rPr>
              <w:t>Устав и/или друг еквивалентен документ;</w:t>
            </w:r>
          </w:p>
          <w:p w14:paraId="66DAFC71" w14:textId="77777777" w:rsidR="009C0430" w:rsidRDefault="00B27CD4">
            <w:pPr>
              <w:pStyle w:val="Default"/>
              <w:numPr>
                <w:ilvl w:val="1"/>
                <w:numId w:val="21"/>
              </w:numPr>
              <w:spacing w:before="120" w:after="120"/>
              <w:jc w:val="both"/>
              <w:rPr>
                <w:b/>
              </w:rPr>
            </w:pPr>
            <w:r>
              <w:rPr>
                <w:b/>
              </w:rPr>
              <w:t>Книга за акционерите - приложимо за акционерните дружества с поименни акции;</w:t>
            </w:r>
          </w:p>
          <w:p w14:paraId="7A136885" w14:textId="77777777" w:rsidR="009C0430" w:rsidRDefault="00B27CD4">
            <w:pPr>
              <w:pStyle w:val="Default"/>
              <w:numPr>
                <w:ilvl w:val="1"/>
                <w:numId w:val="21"/>
              </w:numPr>
              <w:spacing w:before="120" w:after="120"/>
              <w:jc w:val="both"/>
              <w:rPr>
                <w:b/>
              </w:rPr>
            </w:pPr>
            <w:r>
              <w:rPr>
                <w:b/>
              </w:rPr>
              <w:t>Актуална справка за разпределението на капитала на дружеството - приложимо за акционерните дружества;</w:t>
            </w:r>
          </w:p>
          <w:p w14:paraId="559D9E9E" w14:textId="77777777" w:rsidR="009C0430" w:rsidRDefault="00B27CD4">
            <w:pPr>
              <w:pStyle w:val="Default"/>
              <w:numPr>
                <w:ilvl w:val="1"/>
                <w:numId w:val="21"/>
              </w:numPr>
              <w:spacing w:before="120" w:after="120"/>
              <w:jc w:val="both"/>
              <w:rPr>
                <w:b/>
              </w:rPr>
            </w:pPr>
            <w:r>
              <w:rPr>
                <w:b/>
              </w:rPr>
              <w:t>Дружествен договор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1ADAE73F" w14:textId="77777777" w:rsidR="009C0430" w:rsidRDefault="00B27CD4">
            <w:pPr>
              <w:pStyle w:val="Default"/>
              <w:numPr>
                <w:ilvl w:val="1"/>
                <w:numId w:val="21"/>
              </w:numPr>
              <w:spacing w:before="120" w:after="120"/>
              <w:jc w:val="both"/>
              <w:rPr>
                <w:b/>
              </w:rPr>
            </w:pPr>
            <w:r>
              <w:rPr>
                <w:b/>
              </w:rPr>
              <w:t>Книга за акционерите и устав - приложимо за командитните дружества с акции;</w:t>
            </w:r>
          </w:p>
          <w:p w14:paraId="5AE6192D" w14:textId="77777777" w:rsidR="009C0430" w:rsidRDefault="00B27CD4">
            <w:pPr>
              <w:pStyle w:val="Default"/>
              <w:numPr>
                <w:ilvl w:val="1"/>
                <w:numId w:val="21"/>
              </w:numPr>
              <w:spacing w:before="120" w:after="120"/>
              <w:jc w:val="both"/>
              <w:rPr>
                <w:b/>
              </w:rPr>
            </w:pPr>
            <w:r>
              <w:rPr>
                <w:b/>
              </w:rPr>
              <w:t>споразумение или договор по Закона за задълженията и договорите;</w:t>
            </w:r>
          </w:p>
          <w:p w14:paraId="4860C384" w14:textId="77777777" w:rsidR="009C0430" w:rsidRDefault="00B27CD4">
            <w:pPr>
              <w:pStyle w:val="Default"/>
              <w:numPr>
                <w:ilvl w:val="1"/>
                <w:numId w:val="21"/>
              </w:numPr>
              <w:spacing w:before="120" w:after="120"/>
              <w:jc w:val="both"/>
              <w:rPr>
                <w:b/>
              </w:rPr>
            </w:pPr>
            <w:r>
              <w:rPr>
                <w:b/>
              </w:rPr>
              <w:t>договори за предоставяне или ограничаване на права;</w:t>
            </w:r>
          </w:p>
          <w:p w14:paraId="43397592" w14:textId="77777777" w:rsidR="009C0430" w:rsidRDefault="00B27CD4">
            <w:pPr>
              <w:pStyle w:val="Default"/>
              <w:numPr>
                <w:ilvl w:val="1"/>
                <w:numId w:val="21"/>
              </w:numPr>
              <w:spacing w:before="120" w:after="120"/>
              <w:jc w:val="both"/>
              <w:rPr>
                <w:b/>
              </w:rPr>
            </w:pPr>
            <w:r>
              <w:rPr>
                <w:b/>
              </w:rPr>
              <w:t>договори за встъпване в права и задължения;</w:t>
            </w:r>
          </w:p>
          <w:p w14:paraId="0E603AFB" w14:textId="77777777" w:rsidR="009C0430" w:rsidRDefault="00B27CD4">
            <w:pPr>
              <w:pStyle w:val="Default"/>
              <w:numPr>
                <w:ilvl w:val="1"/>
                <w:numId w:val="21"/>
              </w:numPr>
              <w:spacing w:before="120" w:after="120"/>
              <w:jc w:val="both"/>
              <w:rPr>
                <w:b/>
              </w:rPr>
            </w:pPr>
            <w:r>
              <w:rPr>
                <w:b/>
              </w:rPr>
              <w:t>други.</w:t>
            </w:r>
          </w:p>
          <w:p w14:paraId="1CC379F7" w14:textId="77777777" w:rsidR="009C0430" w:rsidRDefault="00B27CD4">
            <w:pPr>
              <w:pStyle w:val="Default"/>
              <w:spacing w:before="120" w:after="120"/>
              <w:jc w:val="both"/>
              <w:rPr>
                <w:b/>
              </w:rPr>
            </w:pPr>
            <w:r>
              <w:rPr>
                <w:b/>
              </w:rPr>
              <w:t>Във връзка с проверките по т. 24.7, УО може да изиска и допълнителни документи от кандидатите.</w:t>
            </w:r>
          </w:p>
          <w:p w14:paraId="122AB6D9" w14:textId="77777777" w:rsidR="009C0430" w:rsidRDefault="00B27CD4">
            <w:pPr>
              <w:pStyle w:val="Default"/>
              <w:spacing w:before="120" w:after="120"/>
              <w:jc w:val="both"/>
              <w:rPr>
                <w:b/>
              </w:rPr>
            </w:pPr>
            <w:r>
              <w:rPr>
                <w:b/>
              </w:rPr>
              <w:t xml:space="preserve">Управляващият орган ще откаже да сключи договор с кандидат в случай, че кандидат и/или някой от неговите партньори: </w:t>
            </w:r>
          </w:p>
          <w:p w14:paraId="0BB56C91" w14:textId="77777777" w:rsidR="009C0430" w:rsidRDefault="00B27CD4">
            <w:pPr>
              <w:pStyle w:val="Default"/>
              <w:numPr>
                <w:ilvl w:val="0"/>
                <w:numId w:val="22"/>
              </w:numPr>
              <w:spacing w:before="120" w:after="120"/>
              <w:jc w:val="both"/>
            </w:pPr>
            <w:r>
              <w:t>Имат задължения въз основа на неизпълнение на договор за предоставяне на финансови средства по друга схема за финансиране по ОП РЧР2007-2013 г., ОП РЧР 2014-2020 и/или програма ФАР към ИА МТСП към момента на сключване на договора по настоящата процедура. (За целта ще бъде извършена служебна проверка от УО);</w:t>
            </w:r>
          </w:p>
          <w:p w14:paraId="4A129FF6" w14:textId="77777777" w:rsidR="009C0430" w:rsidRDefault="00B27CD4">
            <w:pPr>
              <w:pStyle w:val="Default"/>
              <w:numPr>
                <w:ilvl w:val="0"/>
                <w:numId w:val="22"/>
              </w:numPr>
              <w:spacing w:before="120" w:after="120"/>
              <w:jc w:val="both"/>
            </w:pPr>
            <w:r>
              <w:t xml:space="preserve">Се установи надхвърляне на прага на допустимите минимални/държавни помощи; </w:t>
            </w:r>
          </w:p>
          <w:p w14:paraId="478F7D6E" w14:textId="77777777" w:rsidR="009C0430" w:rsidRDefault="00B27CD4">
            <w:pPr>
              <w:pStyle w:val="Default"/>
              <w:numPr>
                <w:ilvl w:val="0"/>
                <w:numId w:val="22"/>
              </w:numPr>
              <w:spacing w:before="120" w:after="120"/>
              <w:ind w:left="284" w:firstLine="0"/>
              <w:jc w:val="both"/>
            </w:pPr>
            <w:r>
              <w:lastRenderedPageBreak/>
              <w:t>кандидатът попада в забранителния режим съгласно Регламент (ЕС) №1407/2013;</w:t>
            </w:r>
          </w:p>
          <w:p w14:paraId="66CBAF5D" w14:textId="77777777" w:rsidR="009C0430" w:rsidRDefault="00B27CD4">
            <w:pPr>
              <w:pStyle w:val="Default"/>
              <w:numPr>
                <w:ilvl w:val="0"/>
                <w:numId w:val="22"/>
              </w:numPr>
              <w:spacing w:before="120" w:after="120"/>
              <w:jc w:val="both"/>
            </w:pPr>
            <w:r>
              <w:t>Се установи, че кандидатът и/или някой от неговите партньори е декларирал неверни обстоятелства в Декларацията на кандидата/партньора или Декларацията за минимални и държавни помощи.</w:t>
            </w:r>
          </w:p>
          <w:p w14:paraId="2F136AC9" w14:textId="77777777" w:rsidR="009C0430" w:rsidRDefault="00B27CD4">
            <w:pPr>
              <w:pStyle w:val="Default"/>
              <w:numPr>
                <w:ilvl w:val="0"/>
                <w:numId w:val="22"/>
              </w:numPr>
              <w:spacing w:before="120" w:after="120"/>
              <w:jc w:val="both"/>
            </w:pPr>
            <w:r>
              <w:t>към момента на сключване на административния договор по настоящата процедура, кандидатът не е представил някой от изискваните документи.</w:t>
            </w:r>
          </w:p>
          <w:p w14:paraId="16F47F5B" w14:textId="77777777" w:rsidR="009C0430" w:rsidRDefault="00B27CD4">
            <w:pPr>
              <w:pStyle w:val="Default"/>
              <w:numPr>
                <w:ilvl w:val="0"/>
                <w:numId w:val="22"/>
              </w:numPr>
              <w:spacing w:before="120" w:after="120"/>
              <w:jc w:val="both"/>
            </w:pPr>
            <w:r>
              <w:t>имат задължения/просрочени задължения за данъци и задължителни осигурителни вноски</w:t>
            </w:r>
          </w:p>
          <w:p w14:paraId="3CC693D6" w14:textId="77777777" w:rsidR="009C0430" w:rsidRDefault="00B27CD4">
            <w:pPr>
              <w:pStyle w:val="Default"/>
              <w:spacing w:before="120" w:after="120"/>
              <w:jc w:val="both"/>
              <w:rPr>
                <w:b/>
              </w:rPr>
            </w:pPr>
            <w:r>
              <w:rPr>
                <w:b/>
              </w:rPr>
              <w:t>Във връзка с проверките по т. 24.7, УО може да изиска и допълнителни документи от кандидатите.</w:t>
            </w:r>
          </w:p>
          <w:p w14:paraId="2922410D" w14:textId="77777777" w:rsidR="009C0430" w:rsidRDefault="009C0430">
            <w:pPr>
              <w:autoSpaceDE w:val="0"/>
              <w:autoSpaceDN w:val="0"/>
              <w:adjustRightInd w:val="0"/>
              <w:spacing w:line="276" w:lineRule="auto"/>
              <w:jc w:val="both"/>
              <w:rPr>
                <w:rFonts w:ascii="Times New Roman" w:eastAsia="Times New Roman" w:hAnsi="Times New Roman" w:cs="Times New Roman"/>
                <w:color w:val="000000"/>
                <w:sz w:val="24"/>
                <w:szCs w:val="24"/>
                <w:lang w:eastAsia="bg-BG"/>
              </w:rPr>
            </w:pPr>
          </w:p>
          <w:p w14:paraId="22264E11" w14:textId="77777777" w:rsidR="009C0430" w:rsidRDefault="009C0430">
            <w:pPr>
              <w:pStyle w:val="Default"/>
              <w:spacing w:before="120" w:after="120"/>
              <w:ind w:left="720"/>
              <w:jc w:val="both"/>
            </w:pPr>
          </w:p>
        </w:tc>
      </w:tr>
    </w:tbl>
    <w:p w14:paraId="7D6AF10F" w14:textId="77777777" w:rsidR="009C0430" w:rsidRDefault="00B27CD4">
      <w:pPr>
        <w:pStyle w:val="2"/>
      </w:pPr>
      <w:bookmarkStart w:id="116" w:name="_Toc488319676"/>
      <w:bookmarkStart w:id="117" w:name="_Toc445385633"/>
      <w:r>
        <w:lastRenderedPageBreak/>
        <w:t xml:space="preserve">24.8. Уведомяване относно решението на </w:t>
      </w:r>
      <w:proofErr w:type="spellStart"/>
      <w:r>
        <w:t>Управляващияорган</w:t>
      </w:r>
      <w:bookmarkEnd w:id="116"/>
      <w:bookmarkEnd w:id="117"/>
      <w:proofErr w:type="spellEnd"/>
    </w:p>
    <w:tbl>
      <w:tblPr>
        <w:tblStyle w:val="afe"/>
        <w:tblW w:w="0" w:type="auto"/>
        <w:tblLook w:val="04A0" w:firstRow="1" w:lastRow="0" w:firstColumn="1" w:lastColumn="0" w:noHBand="0" w:noVBand="1"/>
      </w:tblPr>
      <w:tblGrid>
        <w:gridCol w:w="9496"/>
      </w:tblGrid>
      <w:tr w:rsidR="009C0430" w14:paraId="4F4DFE65" w14:textId="77777777">
        <w:tc>
          <w:tcPr>
            <w:tcW w:w="9496" w:type="dxa"/>
          </w:tcPr>
          <w:p w14:paraId="0AAED100" w14:textId="77777777" w:rsidR="009C0430" w:rsidRDefault="00B27CD4">
            <w:pPr>
              <w:spacing w:before="120" w:after="120"/>
              <w:jc w:val="both"/>
              <w:rPr>
                <w:rFonts w:ascii="Times New Roman" w:eastAsia="Times New Roman" w:hAnsi="Times New Roman" w:cs="Times New Roman"/>
                <w:snapToGrid w:val="0"/>
                <w:sz w:val="24"/>
                <w:szCs w:val="24"/>
                <w:lang w:eastAsia="bg-BG"/>
              </w:rPr>
            </w:pPr>
            <w:r>
              <w:rPr>
                <w:rFonts w:ascii="Times New Roman" w:eastAsia="Times New Roman" w:hAnsi="Times New Roman" w:cs="Times New Roman"/>
                <w:snapToGrid w:val="0"/>
                <w:sz w:val="24"/>
                <w:szCs w:val="24"/>
                <w:lang w:eastAsia="bg-BG"/>
              </w:rPr>
              <w:t xml:space="preserve">Кандидатите ще бъдат уведомени писмено относно решението на ръководителя на УО във връзка с тяхното проектно </w:t>
            </w:r>
            <w:proofErr w:type="spellStart"/>
            <w:r>
              <w:rPr>
                <w:rFonts w:ascii="Times New Roman" w:eastAsia="Times New Roman" w:hAnsi="Times New Roman" w:cs="Times New Roman"/>
                <w:snapToGrid w:val="0"/>
                <w:sz w:val="24"/>
                <w:szCs w:val="24"/>
                <w:lang w:eastAsia="bg-BG"/>
              </w:rPr>
              <w:t>предложение.Уведомлението</w:t>
            </w:r>
            <w:proofErr w:type="spellEnd"/>
            <w:r>
              <w:rPr>
                <w:rFonts w:ascii="Times New Roman" w:eastAsia="Times New Roman" w:hAnsi="Times New Roman" w:cs="Times New Roman"/>
                <w:snapToGrid w:val="0"/>
                <w:sz w:val="24"/>
                <w:szCs w:val="24"/>
                <w:lang w:eastAsia="bg-BG"/>
              </w:rPr>
              <w:t xml:space="preserve"> се изпраща по електронен път на електронната поща, посочена за кореспонденция в проектното предложение.</w:t>
            </w:r>
          </w:p>
          <w:p w14:paraId="6F94ACE9" w14:textId="77777777" w:rsidR="009C0430" w:rsidRDefault="009C0430">
            <w:pPr>
              <w:spacing w:before="120" w:after="120"/>
              <w:jc w:val="both"/>
              <w:rPr>
                <w:rFonts w:ascii="Times New Roman" w:eastAsia="Times New Roman" w:hAnsi="Times New Roman" w:cs="Times New Roman"/>
                <w:snapToGrid w:val="0"/>
                <w:sz w:val="24"/>
                <w:szCs w:val="24"/>
                <w:lang w:eastAsia="bg-BG"/>
              </w:rPr>
            </w:pPr>
          </w:p>
          <w:p w14:paraId="35BA6486" w14:textId="77777777" w:rsidR="009C0430" w:rsidRDefault="00B27CD4">
            <w:pPr>
              <w:tabs>
                <w:tab w:val="left" w:pos="7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След одобряване на оценителния доклад, УО поканва </w:t>
            </w:r>
            <w:r>
              <w:rPr>
                <w:rFonts w:ascii="Times New Roman" w:eastAsia="Times New Roman" w:hAnsi="Times New Roman" w:cs="Times New Roman"/>
                <w:b/>
                <w:sz w:val="24"/>
                <w:szCs w:val="24"/>
                <w:lang w:eastAsia="bg-BG"/>
              </w:rPr>
              <w:t>одобрените кандидати</w:t>
            </w:r>
            <w:r>
              <w:rPr>
                <w:rFonts w:ascii="Times New Roman" w:eastAsia="Times New Roman" w:hAnsi="Times New Roman" w:cs="Times New Roman"/>
                <w:sz w:val="24"/>
                <w:szCs w:val="24"/>
                <w:lang w:eastAsia="bg-BG"/>
              </w:rPr>
              <w:t xml:space="preserve"> да представят доказателства, че отговарят на изискванията за бенефициент и ги информира какви допълнителни документи трябва да представят. Срокът за представяне на документите е 30 дни.</w:t>
            </w:r>
          </w:p>
          <w:p w14:paraId="4AAF4883" w14:textId="77777777" w:rsidR="009C0430" w:rsidRDefault="00B27CD4">
            <w:pPr>
              <w:tabs>
                <w:tab w:val="left" w:pos="7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двуседмичен срок от одобряването на оценителния доклад, съответно от представянето на доказателствата по чл. 36, ал. 2 от ЗУСЕСИФ, РУО взима решение за предоставяне на безвъзмездна финансова помощ по всяко проектно предложение, включено в списъка на одобрените кандидати, чрез сключване на административен договор.</w:t>
            </w:r>
          </w:p>
          <w:p w14:paraId="417DAFA4" w14:textId="77777777" w:rsidR="009C0430" w:rsidRDefault="00B27CD4">
            <w:pPr>
              <w:spacing w:before="120" w:after="120"/>
              <w:jc w:val="both"/>
              <w:rPr>
                <w:rFonts w:ascii="Times New Roman" w:eastAsia="Times New Roman" w:hAnsi="Times New Roman" w:cs="Times New Roman"/>
                <w:snapToGrid w:val="0"/>
                <w:sz w:val="24"/>
                <w:szCs w:val="24"/>
                <w:lang w:eastAsia="bg-BG"/>
              </w:rPr>
            </w:pPr>
            <w:r>
              <w:rPr>
                <w:rFonts w:ascii="Times New Roman" w:eastAsia="Times New Roman" w:hAnsi="Times New Roman" w:cs="Times New Roman"/>
                <w:snapToGrid w:val="0"/>
                <w:sz w:val="24"/>
                <w:szCs w:val="24"/>
                <w:lang w:eastAsia="bg-BG"/>
              </w:rPr>
              <w:t>Административни договори за предоставяне на безвъзмездна финансова помощ се сключват с всички кандидати, които представят изискваните документи в рамките на указания срок, но не по-дълъг от регламентирания в ЗУСЕСИФ. С кандидатите, които не представят документи или не съответстват на изискванията, не се сключват административни договори и се издава мотивирано решение за отказ за предоставяне на безвъзмездна финансова помощ. На тяхно място ще бъдат поканени за договаряне съответният брой кандидати от резервния списък (ако е приложимо), по поредността на класирането им до изчерпване на общия наличен бюджет по процедурата.</w:t>
            </w:r>
          </w:p>
          <w:p w14:paraId="0DC80F8E" w14:textId="77777777" w:rsidR="009C0430" w:rsidRDefault="00B27CD4">
            <w:pPr>
              <w:spacing w:before="120" w:after="120"/>
              <w:jc w:val="both"/>
              <w:rPr>
                <w:rFonts w:ascii="Times New Roman" w:eastAsia="Times New Roman" w:hAnsi="Times New Roman" w:cs="Times New Roman"/>
                <w:snapToGrid w:val="0"/>
                <w:sz w:val="24"/>
                <w:szCs w:val="24"/>
                <w:lang w:eastAsia="bg-BG"/>
              </w:rPr>
            </w:pPr>
            <w:r>
              <w:rPr>
                <w:rFonts w:ascii="Times New Roman" w:eastAsia="Times New Roman" w:hAnsi="Times New Roman" w:cs="Times New Roman"/>
                <w:snapToGrid w:val="0"/>
                <w:sz w:val="24"/>
                <w:szCs w:val="24"/>
                <w:lang w:eastAsia="bg-BG"/>
              </w:rPr>
              <w:t>Ако кандидат по одобрен за финансиране проект откаже сключване на административен договор за безвъзмездна финансова помощ, се пристъпва към сключване на договор с кандидатите от резервния списък (ако е приложимо) по поредността на класирането им, до изчерпване на наличния бюджет по процедурата.</w:t>
            </w:r>
          </w:p>
          <w:p w14:paraId="4F09806B" w14:textId="77777777" w:rsidR="009C0430" w:rsidRDefault="00B27CD4">
            <w:pPr>
              <w:spacing w:before="120" w:after="120"/>
              <w:jc w:val="both"/>
              <w:rPr>
                <w:rFonts w:ascii="Times New Roman" w:eastAsia="Times New Roman" w:hAnsi="Times New Roman" w:cs="Times New Roman"/>
                <w:snapToGrid w:val="0"/>
                <w:sz w:val="24"/>
                <w:szCs w:val="24"/>
                <w:lang w:eastAsia="bg-BG"/>
              </w:rPr>
            </w:pPr>
            <w:r>
              <w:rPr>
                <w:rFonts w:ascii="Times New Roman" w:eastAsia="Times New Roman" w:hAnsi="Times New Roman" w:cs="Times New Roman"/>
                <w:snapToGrid w:val="0"/>
                <w:sz w:val="24"/>
                <w:szCs w:val="24"/>
                <w:lang w:eastAsia="bg-BG"/>
              </w:rPr>
              <w:t>Местните инициативни групи, одобрили проекта, подписват договора като трета страна.</w:t>
            </w:r>
          </w:p>
          <w:p w14:paraId="3A906DCD" w14:textId="77777777" w:rsidR="009C0430" w:rsidRDefault="00B27CD4">
            <w:pPr>
              <w:spacing w:before="120" w:after="120"/>
              <w:jc w:val="both"/>
              <w:rPr>
                <w:rFonts w:ascii="Times New Roman" w:eastAsia="Times New Roman" w:hAnsi="Times New Roman" w:cs="Times New Roman"/>
                <w:snapToGrid w:val="0"/>
                <w:sz w:val="24"/>
                <w:szCs w:val="24"/>
                <w:lang w:eastAsia="bg-BG"/>
              </w:rPr>
            </w:pPr>
            <w:r>
              <w:rPr>
                <w:rFonts w:ascii="Times New Roman" w:eastAsia="Times New Roman" w:hAnsi="Times New Roman" w:cs="Times New Roman"/>
                <w:snapToGrid w:val="0"/>
                <w:sz w:val="24"/>
                <w:szCs w:val="24"/>
                <w:lang w:eastAsia="bg-BG"/>
              </w:rPr>
              <w:t xml:space="preserve">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w:t>
            </w:r>
            <w:r>
              <w:rPr>
                <w:rFonts w:ascii="Times New Roman" w:eastAsia="Times New Roman" w:hAnsi="Times New Roman" w:cs="Times New Roman"/>
                <w:snapToGrid w:val="0"/>
                <w:sz w:val="24"/>
                <w:szCs w:val="24"/>
                <w:lang w:eastAsia="bg-BG"/>
              </w:rPr>
              <w:lastRenderedPageBreak/>
              <w:t>доказателствата по чл. 36, ал. 2 от ЗУСЕСИФ, на следните основания:</w:t>
            </w:r>
          </w:p>
          <w:p w14:paraId="51D11EA6" w14:textId="77777777" w:rsidR="009C0430" w:rsidRDefault="00B27CD4">
            <w:pPr>
              <w:numPr>
                <w:ilvl w:val="0"/>
                <w:numId w:val="2"/>
              </w:numPr>
              <w:spacing w:before="120" w:after="1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несъгласие на кандидата да сключи административен договор;</w:t>
            </w:r>
          </w:p>
          <w:p w14:paraId="5E91A397" w14:textId="77777777" w:rsidR="009C0430" w:rsidRDefault="00B27CD4">
            <w:pPr>
              <w:numPr>
                <w:ilvl w:val="0"/>
                <w:numId w:val="2"/>
              </w:numPr>
              <w:spacing w:before="120" w:after="1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кандидат/партньор, който не отговаря на изискванията за бенефициент или не е представил в срок доказателства за това;</w:t>
            </w:r>
          </w:p>
          <w:p w14:paraId="143DB72B" w14:textId="77777777" w:rsidR="009C0430" w:rsidRDefault="00B27CD4">
            <w:pPr>
              <w:numPr>
                <w:ilvl w:val="0"/>
                <w:numId w:val="2"/>
              </w:numPr>
              <w:spacing w:before="120" w:after="1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проектни предложения, при които се предвижда финансиране в нарушение на чл. 4, ал. 4 от ЗУСЕСИФ;</w:t>
            </w:r>
          </w:p>
          <w:p w14:paraId="1EA8A1E6" w14:textId="77777777" w:rsidR="009C0430" w:rsidRDefault="00B27CD4">
            <w:pPr>
              <w:numPr>
                <w:ilvl w:val="0"/>
                <w:numId w:val="2"/>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 проектни предложения, при които държавната помощ е недопустима или се надхвърлят праговете за минимална помощ;</w:t>
            </w:r>
          </w:p>
          <w:p w14:paraId="4657ADA6" w14:textId="77777777" w:rsidR="009C0430" w:rsidRDefault="00B27CD4">
            <w:pPr>
              <w:numPr>
                <w:ilvl w:val="0"/>
                <w:numId w:val="2"/>
              </w:num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кандидатът/партньорът има задължения въз основа на неизпълнение на договор за предоставяне на финансови средства по друга схема за финансиране по ОП „Развитие на човешките ресурси” 2007-2013 г., ОП „Развитие на човешките ресурси” 2014-2020 г. и програма ФАР към ИА МТСП към момента на сключване на договора по настоящата процедура. (За целта ще бъде извършена служебна проверка от УО);</w:t>
            </w:r>
          </w:p>
          <w:p w14:paraId="2CADA2E1" w14:textId="77777777" w:rsidR="009C0430" w:rsidRDefault="00B27CD4">
            <w:pPr>
              <w:numPr>
                <w:ilvl w:val="0"/>
                <w:numId w:val="2"/>
              </w:numPr>
              <w:spacing w:before="120" w:after="120"/>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ако не са изпълнени някои от останалите критерии, включени в настоящите Условия за кандидатстване.</w:t>
            </w:r>
          </w:p>
          <w:p w14:paraId="1C4E68F5" w14:textId="77777777" w:rsidR="009C0430" w:rsidRDefault="00B27CD4">
            <w:pPr>
              <w:tabs>
                <w:tab w:val="left" w:pos="720"/>
              </w:tabs>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УО уведомява писмено </w:t>
            </w:r>
            <w:r>
              <w:rPr>
                <w:rFonts w:ascii="Times New Roman" w:eastAsia="Times New Roman" w:hAnsi="Times New Roman" w:cs="Times New Roman"/>
                <w:b/>
                <w:sz w:val="24"/>
                <w:szCs w:val="24"/>
                <w:lang w:eastAsia="bg-BG"/>
              </w:rPr>
              <w:t>кандидатите, чиито проектни предложения са отхвърлени или са в резервния списък</w:t>
            </w:r>
            <w:r>
              <w:rPr>
                <w:rFonts w:ascii="Times New Roman" w:eastAsia="Times New Roman" w:hAnsi="Times New Roman" w:cs="Times New Roman"/>
                <w:sz w:val="24"/>
                <w:szCs w:val="24"/>
                <w:lang w:eastAsia="bg-BG"/>
              </w:rPr>
              <w:t xml:space="preserve"> в срок до 3 работни дни от издаване на решението, като посочва основанията за класирането им. В срок до 10 работни дни от получаване на уведомлението, кандидатите могат да поискат допълнителни разяснения относно основанията за класирането на проектните им предложения.</w:t>
            </w:r>
          </w:p>
          <w:p w14:paraId="071D42F8" w14:textId="77777777" w:rsidR="009C0430" w:rsidRDefault="00B27CD4">
            <w:pPr>
              <w:tabs>
                <w:tab w:val="left" w:pos="720"/>
              </w:tabs>
              <w:spacing w:before="240" w:after="240"/>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Уведомяването на </w:t>
            </w:r>
            <w:proofErr w:type="spellStart"/>
            <w:r>
              <w:rPr>
                <w:rFonts w:ascii="Times New Roman" w:eastAsia="Times New Roman" w:hAnsi="Times New Roman" w:cs="Times New Roman"/>
                <w:b/>
                <w:sz w:val="24"/>
                <w:szCs w:val="24"/>
                <w:lang w:eastAsia="bg-BG"/>
              </w:rPr>
              <w:t>неуспелите</w:t>
            </w:r>
            <w:proofErr w:type="spellEnd"/>
            <w:r>
              <w:rPr>
                <w:rFonts w:ascii="Times New Roman" w:eastAsia="Times New Roman" w:hAnsi="Times New Roman" w:cs="Times New Roman"/>
                <w:b/>
                <w:sz w:val="24"/>
                <w:szCs w:val="24"/>
                <w:lang w:eastAsia="bg-BG"/>
              </w:rPr>
              <w:t xml:space="preserve"> и одобрените кандидати се извършва чрез официална кореспонденция по електронен път или на хартия.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14:paraId="089ECDE8" w14:textId="77777777" w:rsidR="009C0430" w:rsidRDefault="00B27CD4">
            <w:pPr>
              <w:tabs>
                <w:tab w:val="left" w:pos="720"/>
              </w:tabs>
              <w:spacing w:before="24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Председателят на </w:t>
            </w:r>
            <w:proofErr w:type="spellStart"/>
            <w:r>
              <w:rPr>
                <w:rFonts w:ascii="Times New Roman" w:eastAsia="Times New Roman" w:hAnsi="Times New Roman" w:cs="Times New Roman"/>
                <w:sz w:val="24"/>
                <w:szCs w:val="24"/>
                <w:lang w:eastAsia="bg-BG"/>
              </w:rPr>
              <w:t>МИГ</w:t>
            </w:r>
            <w:r>
              <w:rPr>
                <w:rFonts w:ascii="Times New Roman" w:eastAsia="Times New Roman" w:hAnsi="Times New Roman" w:cs="Times New Roman"/>
                <w:b/>
                <w:sz w:val="24"/>
                <w:szCs w:val="24"/>
                <w:lang w:eastAsia="bg-BG"/>
              </w:rPr>
              <w:t>прекратява</w:t>
            </w:r>
            <w:proofErr w:type="spellEnd"/>
            <w:r>
              <w:rPr>
                <w:rFonts w:ascii="Times New Roman" w:eastAsia="Times New Roman" w:hAnsi="Times New Roman" w:cs="Times New Roman"/>
                <w:b/>
                <w:sz w:val="24"/>
                <w:szCs w:val="24"/>
                <w:lang w:eastAsia="bg-BG"/>
              </w:rPr>
              <w:t xml:space="preserve"> със заповед процедурите </w:t>
            </w:r>
            <w:r>
              <w:rPr>
                <w:rFonts w:ascii="Times New Roman" w:eastAsia="Times New Roman" w:hAnsi="Times New Roman" w:cs="Times New Roman"/>
                <w:sz w:val="24"/>
                <w:szCs w:val="24"/>
                <w:lang w:eastAsia="bg-BG"/>
              </w:rPr>
              <w:t>на подбор на проекти, в случаите при които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случаите, в които РУО не одобрява доклада, когато в процедурата са допуснати съществени нарушения. В случай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tc>
      </w:tr>
    </w:tbl>
    <w:p w14:paraId="7E253C9C" w14:textId="77777777" w:rsidR="009C0430" w:rsidRDefault="00B27CD4">
      <w:pPr>
        <w:pStyle w:val="2"/>
      </w:pPr>
      <w:bookmarkStart w:id="118" w:name="_Toc488319677"/>
      <w:bookmarkStart w:id="119" w:name="_Toc445385634"/>
      <w:r>
        <w:lastRenderedPageBreak/>
        <w:t>24.9.Условия за изпълнение на проекта, след решението на Управляващия орган за предоставяне на безвъзмездна финансова помощ</w:t>
      </w:r>
      <w:bookmarkEnd w:id="118"/>
      <w:bookmarkEnd w:id="119"/>
    </w:p>
    <w:tbl>
      <w:tblPr>
        <w:tblStyle w:val="afe"/>
        <w:tblW w:w="0" w:type="auto"/>
        <w:tblLook w:val="04A0" w:firstRow="1" w:lastRow="0" w:firstColumn="1" w:lastColumn="0" w:noHBand="0" w:noVBand="1"/>
      </w:tblPr>
      <w:tblGrid>
        <w:gridCol w:w="9496"/>
      </w:tblGrid>
      <w:tr w:rsidR="009C0430" w14:paraId="36674CD2" w14:textId="77777777">
        <w:tc>
          <w:tcPr>
            <w:tcW w:w="9496" w:type="dxa"/>
          </w:tcPr>
          <w:p w14:paraId="7593174B"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След решението за предоставяне на безвъзмездна финансова помощ, на Бенефициента ще бъде предложен договор, който се основава на използвания от УО стандартен образец (вж. </w:t>
            </w:r>
            <w:r>
              <w:rPr>
                <w:rFonts w:ascii="Times New Roman" w:eastAsia="Times New Roman" w:hAnsi="Times New Roman" w:cs="Times New Roman"/>
                <w:b/>
                <w:sz w:val="24"/>
                <w:szCs w:val="24"/>
                <w:lang w:eastAsia="bg-BG"/>
              </w:rPr>
              <w:t>Приложение:  Административен договор</w:t>
            </w:r>
            <w:r>
              <w:rPr>
                <w:rFonts w:ascii="Times New Roman" w:eastAsia="Times New Roman" w:hAnsi="Times New Roman" w:cs="Times New Roman"/>
                <w:sz w:val="24"/>
                <w:szCs w:val="24"/>
                <w:lang w:eastAsia="bg-BG"/>
              </w:rPr>
              <w:t xml:space="preserve">). </w:t>
            </w:r>
          </w:p>
          <w:p w14:paraId="26F1845F"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Правата и задълженията, които възникват за Бенефициента са описани в Приложение: </w:t>
            </w:r>
            <w:r>
              <w:rPr>
                <w:rFonts w:ascii="Times New Roman" w:eastAsia="Times New Roman" w:hAnsi="Times New Roman" w:cs="Times New Roman"/>
                <w:sz w:val="24"/>
                <w:szCs w:val="24"/>
                <w:lang w:eastAsia="bg-BG"/>
              </w:rPr>
              <w:t>Административен договор</w:t>
            </w:r>
            <w:r>
              <w:rPr>
                <w:rFonts w:ascii="Times New Roman" w:eastAsia="Times New Roman" w:hAnsi="Times New Roman" w:cs="Times New Roman"/>
                <w:bCs/>
                <w:sz w:val="24"/>
                <w:szCs w:val="24"/>
                <w:lang w:eastAsia="bg-BG"/>
              </w:rPr>
              <w:t>.</w:t>
            </w:r>
          </w:p>
          <w:p w14:paraId="1A6FE830" w14:textId="77777777" w:rsidR="009C0430" w:rsidRDefault="00B27CD4">
            <w:pPr>
              <w:spacing w:before="120" w:after="12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По време на изпълнение на дейностите по проекта, бенефициентът е длъжен да спазва </w:t>
            </w:r>
            <w:r>
              <w:rPr>
                <w:rFonts w:ascii="Times New Roman" w:eastAsia="Times New Roman" w:hAnsi="Times New Roman" w:cs="Times New Roman"/>
                <w:sz w:val="24"/>
                <w:szCs w:val="24"/>
                <w:lang w:eastAsia="bg-BG"/>
              </w:rPr>
              <w:lastRenderedPageBreak/>
              <w:t xml:space="preserve">„Ръководство за бенефициенти по изпълнение на договори  по ОП РЧР”, което  </w:t>
            </w:r>
            <w:proofErr w:type="spellStart"/>
            <w:r>
              <w:rPr>
                <w:rFonts w:ascii="Times New Roman" w:eastAsia="Times New Roman" w:hAnsi="Times New Roman" w:cs="Times New Roman"/>
                <w:sz w:val="24"/>
                <w:szCs w:val="24"/>
                <w:lang w:eastAsia="bg-BG"/>
              </w:rPr>
              <w:t>епубликувано</w:t>
            </w:r>
            <w:proofErr w:type="spellEnd"/>
            <w:r>
              <w:rPr>
                <w:rFonts w:ascii="Times New Roman" w:eastAsia="Times New Roman" w:hAnsi="Times New Roman" w:cs="Times New Roman"/>
                <w:sz w:val="24"/>
                <w:szCs w:val="24"/>
                <w:lang w:eastAsia="bg-BG"/>
              </w:rPr>
              <w:t xml:space="preserve"> на интернет страницата на Управляващия орган и страницата на МИГ.</w:t>
            </w:r>
          </w:p>
          <w:p w14:paraId="522B2B57" w14:textId="77777777" w:rsidR="009C0430" w:rsidRDefault="00B27CD4">
            <w:pPr>
              <w:spacing w:before="120" w:after="1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При извършване на окончателно плащане по договора за предоставяне на безвъзмездна финансова помощ или прекратяване на договора, УО актуализира информацията в ИС РМП, на база реално извършените плащания. </w:t>
            </w:r>
          </w:p>
          <w:p w14:paraId="5D2A8165" w14:textId="77777777" w:rsidR="009C0430" w:rsidRDefault="00B27CD4">
            <w:pPr>
              <w:spacing w:before="120" w:after="1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Преди всяко искане за плащане УО извършва съпоставка на данните в ИС РМП и актуалната декларация за минимални и държавни помощи, предоставена от бенефициента по отношение на минимални помощи, получени от други източници (администратори). </w:t>
            </w:r>
          </w:p>
          <w:p w14:paraId="42B2E2E6" w14:textId="77777777" w:rsidR="009C0430" w:rsidRDefault="00B27CD4">
            <w:pPr>
              <w:spacing w:before="120" w:after="1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При констатиране на неправомерно предоставена помощ или надвишаване на установените в чл. 3 от Регламент (ЕС) № 1407/2013 прагове, бенефициентът следва да възстанови пълния размер на предоставените средства по договора, ведно със законната лихва от момента на надвишаването до окончателното им изплащане.</w:t>
            </w:r>
          </w:p>
          <w:p w14:paraId="63B757E9" w14:textId="77777777" w:rsidR="009C0430" w:rsidRDefault="00B27CD4">
            <w:pPr>
              <w:spacing w:before="120" w:after="1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от Наредба № Н-3 /22.05.2018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0BB474FE"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Мониторинг върху изпълнението на проект в рамките на стратегия за ВОМР се извършва от МИГ, както и от органите, отговорни за управлението и контрола на ОПРЧР.</w:t>
            </w:r>
          </w:p>
          <w:p w14:paraId="24F8E49B"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Във връзка с изпълнението на задачите по мониторинг, МИГ изискват от бенефициентите информация и провеждат дейности по оценка, като представят:</w:t>
            </w:r>
          </w:p>
          <w:p w14:paraId="7B66C7DA"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 годишен доклад за отчитане изпълнението на стратегията за ВОМР на УО на ПРСР 2014 - 2020 г. и на УО на останалите програми - страна по споразумението по чл. 35 от ПМС 161/2016 г. - в срок до 15 февруари на следващата календарна година;</w:t>
            </w:r>
          </w:p>
          <w:p w14:paraId="310DE338" w14:textId="77777777" w:rsidR="009C0430" w:rsidRDefault="00B27CD4">
            <w:pPr>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14:paraId="7CD299E8" w14:textId="77777777" w:rsidR="009C0430" w:rsidRDefault="00B27CD4">
            <w:pPr>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sz w:val="24"/>
                <w:szCs w:val="24"/>
                <w:lang w:eastAsia="bg-BG"/>
              </w:rPr>
              <w:t>При установяване на затруднения за изпълнение на проектите и целите на стратегията МИГ докладва на УО на ПРЧР и предлага мерки за преодоляването им.</w:t>
            </w:r>
          </w:p>
        </w:tc>
      </w:tr>
    </w:tbl>
    <w:p w14:paraId="33FAF1BA" w14:textId="77777777" w:rsidR="009C0430" w:rsidRDefault="009C0430">
      <w:pPr>
        <w:pStyle w:val="1"/>
      </w:pPr>
      <w:bookmarkStart w:id="120" w:name="_Toc488319678"/>
      <w:bookmarkStart w:id="121" w:name="_Toc445385635"/>
    </w:p>
    <w:p w14:paraId="3D183374" w14:textId="77777777" w:rsidR="009C0430" w:rsidRDefault="00B27CD4">
      <w:pPr>
        <w:pStyle w:val="1"/>
      </w:pPr>
      <w:r>
        <w:t>25. Приложения към Условията за кандидатстване за кандидатстване:</w:t>
      </w:r>
      <w:bookmarkEnd w:id="120"/>
      <w:bookmarkEnd w:id="121"/>
    </w:p>
    <w:p w14:paraId="647ABC89" w14:textId="77777777" w:rsidR="009C0430" w:rsidRDefault="00B27CD4">
      <w:pPr>
        <w:pStyle w:val="2"/>
      </w:pPr>
      <w:bookmarkStart w:id="122" w:name="_Toc488319679"/>
      <w:bookmarkStart w:id="123" w:name="_Toc445385636"/>
      <w:r>
        <w:t>25.1.Документи, които се подават  към момента на кандидатстване:</w:t>
      </w:r>
      <w:bookmarkEnd w:id="122"/>
      <w:bookmarkEnd w:id="123"/>
    </w:p>
    <w:tbl>
      <w:tblPr>
        <w:tblStyle w:val="afe"/>
        <w:tblW w:w="0" w:type="auto"/>
        <w:tblLook w:val="04A0" w:firstRow="1" w:lastRow="0" w:firstColumn="1" w:lastColumn="0" w:noHBand="0" w:noVBand="1"/>
      </w:tblPr>
      <w:tblGrid>
        <w:gridCol w:w="9495"/>
      </w:tblGrid>
      <w:tr w:rsidR="009C0430" w14:paraId="242BAE34" w14:textId="77777777">
        <w:tc>
          <w:tcPr>
            <w:tcW w:w="9495" w:type="dxa"/>
          </w:tcPr>
          <w:p w14:paraId="539FB3FA" w14:textId="77777777" w:rsidR="009C0430" w:rsidRDefault="00B27CD4">
            <w:pPr>
              <w:autoSpaceDE w:val="0"/>
              <w:autoSpaceDN w:val="0"/>
              <w:adjustRightInd w:val="0"/>
              <w:spacing w:before="120" w:after="120"/>
              <w:jc w:val="both"/>
              <w:rPr>
                <w:rFonts w:ascii="Times New Roman" w:eastAsia="Times New Roman" w:hAnsi="Times New Roman" w:cs="Times New Roman"/>
                <w:b/>
                <w:bCs/>
                <w:color w:val="000000"/>
                <w:sz w:val="24"/>
                <w:szCs w:val="24"/>
                <w:lang w:eastAsia="bg-BG"/>
              </w:rPr>
            </w:pPr>
            <w:bookmarkStart w:id="124" w:name="_Toc40507658"/>
            <w:r>
              <w:rPr>
                <w:rFonts w:ascii="Times New Roman" w:eastAsia="Times New Roman" w:hAnsi="Times New Roman" w:cs="Times New Roman"/>
                <w:b/>
                <w:bCs/>
                <w:color w:val="000000"/>
                <w:sz w:val="24"/>
                <w:szCs w:val="24"/>
                <w:lang w:eastAsia="bg-BG"/>
              </w:rPr>
              <w:t>ПРИЛОЖЕНИЯ ЗА ПОПЪЛВАНЕ:</w:t>
            </w:r>
          </w:p>
          <w:p w14:paraId="30C8605A" w14:textId="77777777" w:rsidR="009C0430" w:rsidRDefault="00B27CD4">
            <w:pPr>
              <w:autoSpaceDE w:val="0"/>
              <w:autoSpaceDN w:val="0"/>
              <w:adjustRightInd w:val="0"/>
              <w:spacing w:before="120" w:after="120"/>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 xml:space="preserve">Формуляр за кандидатстване (приложение към настоящата процедура в ИСУН 2020 - </w:t>
            </w:r>
            <w:hyperlink r:id="rId18" w:history="1">
              <w:r>
                <w:rPr>
                  <w:rFonts w:ascii="Times New Roman" w:eastAsia="Times New Roman" w:hAnsi="Times New Roman" w:cs="Times New Roman"/>
                  <w:bCs/>
                  <w:color w:val="0000FF"/>
                  <w:sz w:val="24"/>
                  <w:szCs w:val="24"/>
                  <w:u w:val="single"/>
                  <w:lang w:eastAsia="bg-BG"/>
                </w:rPr>
                <w:t>https://eumis2020.government.bg</w:t>
              </w:r>
            </w:hyperlink>
            <w:r>
              <w:rPr>
                <w:rFonts w:ascii="Times New Roman" w:eastAsia="Times New Roman" w:hAnsi="Times New Roman" w:cs="Times New Roman"/>
                <w:bCs/>
                <w:color w:val="000000"/>
                <w:sz w:val="24"/>
                <w:szCs w:val="24"/>
                <w:lang w:eastAsia="bg-BG"/>
              </w:rPr>
              <w:t>)</w:t>
            </w:r>
          </w:p>
          <w:p w14:paraId="12253111" w14:textId="77777777" w:rsidR="009C0430" w:rsidRDefault="00B27CD4">
            <w:pPr>
              <w:autoSpaceDE w:val="0"/>
              <w:autoSpaceDN w:val="0"/>
              <w:adjustRightInd w:val="0"/>
              <w:spacing w:before="120" w:after="120"/>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Приложение І</w:t>
            </w:r>
            <w:r>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sz w:val="24"/>
                <w:szCs w:val="24"/>
                <w:lang w:eastAsia="bg-BG"/>
              </w:rPr>
              <w:t>Автобиография на ръководителя на проекта или на законния представител на кандидата (управител, прокурист и др.)/собственика на капитала на организацията</w:t>
            </w:r>
          </w:p>
          <w:p w14:paraId="37D820E2"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Cs/>
                <w:color w:val="000000"/>
                <w:sz w:val="24"/>
                <w:szCs w:val="24"/>
                <w:lang w:eastAsia="bg-BG"/>
              </w:rPr>
              <w:t>Приложение ІІ</w:t>
            </w:r>
            <w:r>
              <w:rPr>
                <w:rFonts w:ascii="Times New Roman" w:eastAsia="Times New Roman" w:hAnsi="Times New Roman" w:cs="Times New Roman"/>
                <w:color w:val="000000"/>
                <w:sz w:val="24"/>
                <w:szCs w:val="24"/>
                <w:lang w:eastAsia="bg-BG"/>
              </w:rPr>
              <w:t>: Декларация на кандидата/партньора</w:t>
            </w:r>
          </w:p>
          <w:p w14:paraId="7972516B"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Приложение ІІ-1 Декларация на кандидата/партньора за кандидат/партньор община</w:t>
            </w:r>
          </w:p>
          <w:p w14:paraId="31AA757A"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Приложение І</w:t>
            </w:r>
            <w:r>
              <w:rPr>
                <w:rFonts w:ascii="Times New Roman" w:eastAsia="Times New Roman" w:hAnsi="Times New Roman" w:cs="Times New Roman"/>
                <w:color w:val="000000"/>
                <w:sz w:val="24"/>
                <w:szCs w:val="24"/>
                <w:lang w:val="en-US" w:eastAsia="bg-BG"/>
              </w:rPr>
              <w:t>II</w:t>
            </w:r>
            <w:r>
              <w:rPr>
                <w:rFonts w:ascii="Times New Roman" w:eastAsia="Times New Roman" w:hAnsi="Times New Roman" w:cs="Times New Roman"/>
                <w:color w:val="000000"/>
                <w:sz w:val="24"/>
                <w:szCs w:val="24"/>
                <w:lang w:eastAsia="bg-BG"/>
              </w:rPr>
              <w:t>: Декларация за минимални и държавни помощи (ако е приложимо)</w:t>
            </w:r>
          </w:p>
          <w:p w14:paraId="736989AE"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Cs/>
                <w:color w:val="000000"/>
                <w:sz w:val="24"/>
                <w:szCs w:val="24"/>
                <w:lang w:eastAsia="bg-BG"/>
              </w:rPr>
              <w:t xml:space="preserve">Приложение </w:t>
            </w:r>
            <w:r>
              <w:rPr>
                <w:rFonts w:ascii="Times New Roman" w:eastAsia="Times New Roman" w:hAnsi="Times New Roman" w:cs="Times New Roman"/>
                <w:bCs/>
                <w:color w:val="000000"/>
                <w:sz w:val="24"/>
                <w:szCs w:val="24"/>
                <w:lang w:val="en-US" w:eastAsia="bg-BG"/>
              </w:rPr>
              <w:t>I</w:t>
            </w:r>
            <w:r>
              <w:rPr>
                <w:rFonts w:ascii="Times New Roman" w:eastAsia="Times New Roman" w:hAnsi="Times New Roman" w:cs="Times New Roman"/>
                <w:bCs/>
                <w:color w:val="000000"/>
                <w:sz w:val="24"/>
                <w:szCs w:val="24"/>
                <w:lang w:eastAsia="bg-BG"/>
              </w:rPr>
              <w:t>V</w:t>
            </w:r>
            <w:r>
              <w:rPr>
                <w:rFonts w:ascii="Times New Roman" w:eastAsia="Times New Roman" w:hAnsi="Times New Roman" w:cs="Times New Roman"/>
                <w:color w:val="000000"/>
                <w:sz w:val="24"/>
                <w:szCs w:val="24"/>
                <w:lang w:eastAsia="bg-BG"/>
              </w:rPr>
              <w:t xml:space="preserve">: Декларация за предоставяне на данни от НСИ </w:t>
            </w:r>
          </w:p>
          <w:p w14:paraId="32D3D98A"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u w:val="single"/>
                <w:lang w:eastAsia="bg-BG"/>
              </w:rPr>
              <w:t>Приложение V: Бюджет</w:t>
            </w:r>
          </w:p>
          <w:p w14:paraId="044D4A65" w14:textId="77777777" w:rsidR="009C0430" w:rsidRDefault="00B27CD4">
            <w:pPr>
              <w:tabs>
                <w:tab w:val="left" w:pos="1800"/>
              </w:tabs>
              <w:spacing w:before="120" w:after="1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sz w:val="24"/>
                <w:szCs w:val="24"/>
                <w:lang w:eastAsia="bg-BG"/>
              </w:rPr>
              <w:t xml:space="preserve">Подкрепящи документи </w:t>
            </w:r>
            <w:r>
              <w:rPr>
                <w:rFonts w:ascii="Times New Roman" w:eastAsia="Times New Roman" w:hAnsi="Times New Roman" w:cs="Times New Roman"/>
                <w:bCs/>
                <w:sz w:val="24"/>
                <w:szCs w:val="24"/>
                <w:lang w:eastAsia="bg-BG"/>
              </w:rPr>
              <w:t>(съгласно точка 22 от Условията за кандидатстване)</w:t>
            </w:r>
            <w:bookmarkEnd w:id="124"/>
          </w:p>
        </w:tc>
      </w:tr>
    </w:tbl>
    <w:p w14:paraId="3AC6CC7E" w14:textId="77777777" w:rsidR="009C0430" w:rsidRDefault="00B27CD4">
      <w:pPr>
        <w:pStyle w:val="2"/>
      </w:pPr>
      <w:bookmarkStart w:id="125" w:name="_Toc488319680"/>
      <w:bookmarkStart w:id="126" w:name="_Toc445385637"/>
      <w:r>
        <w:lastRenderedPageBreak/>
        <w:t>25.2. Документи, към момента на подписване на административния договор:</w:t>
      </w:r>
      <w:bookmarkEnd w:id="125"/>
      <w:bookmarkEnd w:id="126"/>
    </w:p>
    <w:tbl>
      <w:tblPr>
        <w:tblStyle w:val="afe"/>
        <w:tblW w:w="0" w:type="auto"/>
        <w:tblLook w:val="04A0" w:firstRow="1" w:lastRow="0" w:firstColumn="1" w:lastColumn="0" w:noHBand="0" w:noVBand="1"/>
      </w:tblPr>
      <w:tblGrid>
        <w:gridCol w:w="9495"/>
      </w:tblGrid>
      <w:tr w:rsidR="009C0430" w14:paraId="103B7D7A" w14:textId="77777777">
        <w:tc>
          <w:tcPr>
            <w:tcW w:w="9495" w:type="dxa"/>
          </w:tcPr>
          <w:p w14:paraId="779FE22D"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bookmarkStart w:id="127" w:name="_Toc172021301"/>
            <w:r>
              <w:rPr>
                <w:rFonts w:ascii="Times New Roman" w:eastAsia="Times New Roman" w:hAnsi="Times New Roman" w:cs="Times New Roman"/>
                <w:color w:val="000000"/>
                <w:sz w:val="24"/>
                <w:szCs w:val="24"/>
                <w:lang w:eastAsia="bg-BG"/>
              </w:rPr>
              <w:t>Административен договор</w:t>
            </w:r>
          </w:p>
          <w:p w14:paraId="4BB4C179"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Приложение VІ: Споразумение за партньорство </w:t>
            </w:r>
          </w:p>
          <w:p w14:paraId="706F12CD"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Приложение VІІ: Формуляр за финансова идентификация </w:t>
            </w:r>
          </w:p>
          <w:p w14:paraId="70312620"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Приложение VІІІ: Декларация относно произхода на финансовия принос по проекта (в случай на съфинансиране) (ако е приложимо)</w:t>
            </w:r>
          </w:p>
          <w:p w14:paraId="289089F2"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Приложение ІХ: Декларация за нередности</w:t>
            </w:r>
          </w:p>
          <w:p w14:paraId="4C08C72E"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Актуална декларация за минимални помощи</w:t>
            </w:r>
          </w:p>
          <w:p w14:paraId="07CE0761" w14:textId="77777777" w:rsidR="009C0430" w:rsidRDefault="00B27CD4">
            <w:pPr>
              <w:autoSpaceDE w:val="0"/>
              <w:autoSpaceDN w:val="0"/>
              <w:adjustRightInd w:val="0"/>
              <w:spacing w:before="120" w:after="120"/>
              <w:jc w:val="both"/>
              <w:rPr>
                <w:rFonts w:ascii="Times New Roman" w:eastAsia="Times New Roman" w:hAnsi="Times New Roman" w:cs="Times New Roman"/>
                <w:caps/>
                <w:sz w:val="24"/>
                <w:szCs w:val="24"/>
                <w:lang w:eastAsia="bg-BG"/>
              </w:rPr>
            </w:pPr>
            <w:r>
              <w:rPr>
                <w:rFonts w:ascii="Times New Roman" w:eastAsia="Times New Roman" w:hAnsi="Times New Roman" w:cs="Times New Roman"/>
                <w:sz w:val="24"/>
                <w:szCs w:val="24"/>
                <w:lang w:eastAsia="bg-BG"/>
              </w:rPr>
              <w:t>Заявление за профил за достъп на ръководител на бенефициента до</w:t>
            </w:r>
            <w:r>
              <w:rPr>
                <w:rFonts w:ascii="Times New Roman" w:eastAsia="Times New Roman" w:hAnsi="Times New Roman" w:cs="Times New Roman"/>
                <w:caps/>
                <w:sz w:val="24"/>
                <w:szCs w:val="24"/>
                <w:lang w:eastAsia="bg-BG"/>
              </w:rPr>
              <w:t xml:space="preserve"> ИСУН 2020</w:t>
            </w:r>
          </w:p>
          <w:p w14:paraId="05FDDBA6" w14:textId="77777777" w:rsidR="009C0430" w:rsidRDefault="00B27CD4">
            <w:pPr>
              <w:autoSpaceDE w:val="0"/>
              <w:autoSpaceDN w:val="0"/>
              <w:adjustRightInd w:val="0"/>
              <w:spacing w:before="120" w:after="120"/>
              <w:jc w:val="both"/>
              <w:rPr>
                <w:rFonts w:ascii="Times New Roman" w:eastAsia="Times New Roman" w:hAnsi="Times New Roman" w:cs="Times New Roman"/>
                <w:caps/>
                <w:sz w:val="24"/>
                <w:szCs w:val="24"/>
                <w:lang w:eastAsia="bg-BG"/>
              </w:rPr>
            </w:pPr>
            <w:r>
              <w:rPr>
                <w:rFonts w:ascii="Times New Roman" w:eastAsia="Times New Roman" w:hAnsi="Times New Roman" w:cs="Times New Roman"/>
                <w:sz w:val="24"/>
                <w:szCs w:val="24"/>
                <w:lang w:eastAsia="bg-BG"/>
              </w:rPr>
              <w:t>Заявление за профил за достъп на упълномощени от бенефициента лица до</w:t>
            </w:r>
            <w:r>
              <w:rPr>
                <w:rFonts w:ascii="Times New Roman" w:eastAsia="Times New Roman" w:hAnsi="Times New Roman" w:cs="Times New Roman"/>
                <w:caps/>
                <w:sz w:val="24"/>
                <w:szCs w:val="24"/>
                <w:lang w:eastAsia="bg-BG"/>
              </w:rPr>
              <w:t xml:space="preserve"> ИСУН 2020</w:t>
            </w:r>
          </w:p>
          <w:p w14:paraId="76E026C0" w14:textId="77777777" w:rsidR="009C0430" w:rsidRDefault="00B27CD4">
            <w:pPr>
              <w:autoSpaceDE w:val="0"/>
              <w:autoSpaceDN w:val="0"/>
              <w:adjustRightInd w:val="0"/>
              <w:spacing w:before="120" w:after="1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
                <w:bCs/>
                <w:color w:val="000000"/>
                <w:sz w:val="24"/>
                <w:szCs w:val="24"/>
                <w:lang w:eastAsia="bg-BG"/>
              </w:rPr>
              <w:t xml:space="preserve">Подкрепящи документи към момента на подписване на административния договор </w:t>
            </w:r>
            <w:r>
              <w:rPr>
                <w:rFonts w:ascii="Times New Roman" w:eastAsia="Times New Roman" w:hAnsi="Times New Roman" w:cs="Times New Roman"/>
                <w:bCs/>
                <w:sz w:val="24"/>
                <w:szCs w:val="24"/>
                <w:lang w:eastAsia="bg-BG"/>
              </w:rPr>
              <w:t>(съгласно точка 24.7. от Условията за кандидатстване)</w:t>
            </w:r>
          </w:p>
        </w:tc>
      </w:tr>
    </w:tbl>
    <w:p w14:paraId="5549702F" w14:textId="77777777" w:rsidR="009C0430" w:rsidRDefault="00B27CD4">
      <w:pPr>
        <w:pStyle w:val="2"/>
      </w:pPr>
      <w:bookmarkStart w:id="128" w:name="_Toc488319681"/>
      <w:bookmarkStart w:id="129" w:name="_Toc445385638"/>
      <w:bookmarkEnd w:id="127"/>
      <w:r>
        <w:t>25.3. Документи за информация:</w:t>
      </w:r>
      <w:bookmarkEnd w:id="128"/>
      <w:bookmarkEnd w:id="129"/>
    </w:p>
    <w:tbl>
      <w:tblPr>
        <w:tblStyle w:val="afe"/>
        <w:tblW w:w="0" w:type="auto"/>
        <w:tblLook w:val="04A0" w:firstRow="1" w:lastRow="0" w:firstColumn="1" w:lastColumn="0" w:noHBand="0" w:noVBand="1"/>
      </w:tblPr>
      <w:tblGrid>
        <w:gridCol w:w="9495"/>
      </w:tblGrid>
      <w:tr w:rsidR="009C0430" w14:paraId="47B06CD8" w14:textId="77777777">
        <w:tc>
          <w:tcPr>
            <w:tcW w:w="9495" w:type="dxa"/>
          </w:tcPr>
          <w:p w14:paraId="7D61A41F"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Таблица за оценка на административното съответствие и допустимостта на проектно предложение;</w:t>
            </w:r>
          </w:p>
          <w:p w14:paraId="25E22C6E"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Методология за оценка на техническо и финансово качество на проектно предложение; </w:t>
            </w:r>
          </w:p>
          <w:p w14:paraId="70CF327A" w14:textId="77777777" w:rsidR="009C0430" w:rsidRDefault="00B27CD4">
            <w:pPr>
              <w:spacing w:before="120" w:after="120"/>
              <w:rPr>
                <w:rFonts w:ascii="Times New Roman" w:eastAsia="Times New Roman" w:hAnsi="Times New Roman" w:cs="Times New Roman"/>
                <w:bCs/>
                <w:snapToGrid w:val="0"/>
                <w:sz w:val="24"/>
                <w:szCs w:val="24"/>
                <w:lang w:eastAsia="bg-BG"/>
              </w:rPr>
            </w:pPr>
            <w:r>
              <w:rPr>
                <w:rFonts w:ascii="Times New Roman" w:eastAsia="Times New Roman" w:hAnsi="Times New Roman" w:cs="Times New Roman"/>
                <w:bCs/>
                <w:snapToGrid w:val="0"/>
                <w:sz w:val="24"/>
                <w:szCs w:val="24"/>
                <w:lang w:eastAsia="bg-BG"/>
              </w:rPr>
              <w:t>Методика за оценка на финансовия капацитет на кандидата по ОП РЧР 2014 – 2020г</w:t>
            </w:r>
          </w:p>
          <w:p w14:paraId="57D06D34"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Методология за възнагражденията по ОП РЧР /Методологията е публикувана на </w:t>
            </w:r>
            <w:hyperlink r:id="rId19" w:history="1">
              <w:r>
                <w:rPr>
                  <w:rStyle w:val="afc"/>
                  <w:rFonts w:ascii="Times New Roman" w:eastAsia="Times New Roman" w:hAnsi="Times New Roman" w:cs="Times New Roman"/>
                  <w:sz w:val="24"/>
                  <w:szCs w:val="24"/>
                  <w:lang w:eastAsia="bg-BG"/>
                </w:rPr>
                <w:t>http://esf.bg/informatsiya</w:t>
              </w:r>
            </w:hyperlink>
            <w:r>
              <w:rPr>
                <w:rFonts w:ascii="Times New Roman" w:eastAsia="Times New Roman" w:hAnsi="Times New Roman" w:cs="Times New Roman"/>
                <w:color w:val="000000"/>
                <w:sz w:val="24"/>
                <w:szCs w:val="24"/>
                <w:lang w:eastAsia="bg-BG"/>
              </w:rPr>
              <w:t>//;</w:t>
            </w:r>
          </w:p>
          <w:p w14:paraId="71FA3988"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Указания на министъра на финансите № НФ-3/23.12.2016г. относно третиране на данък върху добавена стойност като допустим разход при изпълнение на проекти по ОП, съфинансирани от ЕФРР, ЕСФ, КОХЕЗИОННИЯ ФОНД НА ЕС и от ЕФМДР, за финансовата рамка 2014-2020г.;</w:t>
            </w:r>
          </w:p>
          <w:p w14:paraId="277E07D9" w14:textId="77777777" w:rsidR="009C0430" w:rsidRDefault="00B27CD4">
            <w:pPr>
              <w:autoSpaceDE w:val="0"/>
              <w:autoSpaceDN w:val="0"/>
              <w:adjustRightInd w:val="0"/>
              <w:spacing w:before="120" w:after="120"/>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Указания за попълване на формуляр за кандидатстване;</w:t>
            </w:r>
          </w:p>
          <w:p w14:paraId="28FFE9F9" w14:textId="77777777" w:rsidR="009C0430" w:rsidRDefault="00B27CD4">
            <w:pPr>
              <w:tabs>
                <w:tab w:val="left" w:pos="360"/>
              </w:tabs>
              <w:spacing w:after="120" w:line="276" w:lineRule="auto"/>
              <w:ind w:left="357" w:hanging="357"/>
              <w:jc w:val="both"/>
              <w:rPr>
                <w:rFonts w:ascii="Times New Roman" w:eastAsia="Times New Roman" w:hAnsi="Times New Roman" w:cs="Times New Roman"/>
                <w:snapToGrid w:val="0"/>
                <w:sz w:val="24"/>
                <w:szCs w:val="24"/>
                <w:lang w:eastAsia="bg-BG"/>
              </w:rPr>
            </w:pPr>
            <w:r>
              <w:rPr>
                <w:rFonts w:ascii="Times New Roman" w:eastAsia="Times New Roman" w:hAnsi="Times New Roman" w:cs="Times New Roman"/>
                <w:caps/>
                <w:snapToGrid w:val="0"/>
                <w:sz w:val="24"/>
                <w:szCs w:val="24"/>
                <w:lang w:eastAsia="bg-BG"/>
              </w:rPr>
              <w:t>к</w:t>
            </w:r>
            <w:r>
              <w:rPr>
                <w:rFonts w:ascii="Times New Roman" w:eastAsia="Times New Roman" w:hAnsi="Times New Roman" w:cs="Times New Roman"/>
                <w:snapToGrid w:val="0"/>
                <w:sz w:val="24"/>
                <w:szCs w:val="24"/>
                <w:lang w:eastAsia="bg-BG"/>
              </w:rPr>
              <w:t xml:space="preserve">ласификатор на икономическите дейности </w:t>
            </w:r>
            <w:r>
              <w:rPr>
                <w:rFonts w:ascii="Times New Roman" w:eastAsia="Times New Roman" w:hAnsi="Times New Roman" w:cs="Times New Roman"/>
                <w:caps/>
                <w:snapToGrid w:val="0"/>
                <w:sz w:val="24"/>
                <w:szCs w:val="24"/>
                <w:lang w:eastAsia="bg-BG"/>
              </w:rPr>
              <w:t>(КИД-2008)</w:t>
            </w:r>
            <w:r>
              <w:rPr>
                <w:rFonts w:ascii="Times New Roman" w:eastAsia="Times New Roman" w:hAnsi="Times New Roman" w:cs="Times New Roman"/>
                <w:color w:val="000000"/>
                <w:sz w:val="24"/>
                <w:szCs w:val="24"/>
                <w:lang w:eastAsia="bg-BG"/>
              </w:rPr>
              <w:t>(ако е приложимо)</w:t>
            </w:r>
            <w:r>
              <w:rPr>
                <w:rFonts w:ascii="Times New Roman" w:eastAsia="Times New Roman" w:hAnsi="Times New Roman" w:cs="Times New Roman"/>
                <w:snapToGrid w:val="0"/>
                <w:sz w:val="24"/>
                <w:szCs w:val="24"/>
                <w:lang w:eastAsia="bg-BG"/>
              </w:rPr>
              <w:t>.</w:t>
            </w:r>
          </w:p>
          <w:p w14:paraId="7CBFBCA3" w14:textId="77777777" w:rsidR="009C0430" w:rsidRDefault="00B27CD4">
            <w:pPr>
              <w:ind w:right="51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Таблица за определяне на допустимите почасови ставки (ако е приложимо)</w:t>
            </w:r>
            <w:r>
              <w:rPr>
                <w:rFonts w:ascii="Times New Roman" w:eastAsia="Times New Roman" w:hAnsi="Times New Roman" w:cs="Times New Roman"/>
                <w:snapToGrid w:val="0"/>
                <w:sz w:val="24"/>
                <w:szCs w:val="24"/>
                <w:lang w:eastAsia="bg-BG"/>
              </w:rPr>
              <w:t>.</w:t>
            </w:r>
          </w:p>
          <w:p w14:paraId="62B4A87B" w14:textId="77777777" w:rsidR="009C0430" w:rsidRDefault="009C0430">
            <w:pPr>
              <w:tabs>
                <w:tab w:val="left" w:pos="360"/>
              </w:tabs>
              <w:spacing w:after="120" w:line="276" w:lineRule="auto"/>
              <w:ind w:left="357" w:hanging="357"/>
              <w:jc w:val="both"/>
              <w:rPr>
                <w:rFonts w:ascii="Times New Roman" w:eastAsia="Times New Roman" w:hAnsi="Times New Roman" w:cs="Times New Roman"/>
                <w:color w:val="000000"/>
                <w:sz w:val="24"/>
                <w:szCs w:val="24"/>
                <w:lang w:eastAsia="bg-BG"/>
              </w:rPr>
            </w:pPr>
          </w:p>
        </w:tc>
      </w:tr>
    </w:tbl>
    <w:p w14:paraId="564C8577" w14:textId="77777777" w:rsidR="009C0430" w:rsidRDefault="009C0430">
      <w:pPr>
        <w:pStyle w:val="a0"/>
        <w:spacing w:before="120" w:after="120" w:line="240" w:lineRule="auto"/>
        <w:ind w:left="0"/>
        <w:contextualSpacing w:val="0"/>
        <w:jc w:val="both"/>
        <w:rPr>
          <w:rFonts w:ascii="Times New Roman" w:hAnsi="Times New Roman" w:cs="Times New Roman"/>
          <w:b/>
          <w:sz w:val="24"/>
          <w:szCs w:val="24"/>
        </w:rPr>
      </w:pPr>
    </w:p>
    <w:sectPr w:rsidR="009C0430" w:rsidSect="00DB4CFA">
      <w:headerReference w:type="even" r:id="rId20"/>
      <w:headerReference w:type="default" r:id="rId21"/>
      <w:footerReference w:type="even" r:id="rId22"/>
      <w:footerReference w:type="default" r:id="rId23"/>
      <w:headerReference w:type="first" r:id="rId24"/>
      <w:footerReference w:type="first" r:id="rId25"/>
      <w:pgSz w:w="11906" w:h="16838"/>
      <w:pgMar w:top="2208" w:right="1133" w:bottom="851"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99C2A" w14:textId="77777777" w:rsidR="00B50ADD" w:rsidRDefault="00B50ADD">
      <w:pPr>
        <w:spacing w:after="0" w:line="240" w:lineRule="auto"/>
      </w:pPr>
      <w:r>
        <w:separator/>
      </w:r>
    </w:p>
  </w:endnote>
  <w:endnote w:type="continuationSeparator" w:id="0">
    <w:p w14:paraId="07DE3107" w14:textId="77777777" w:rsidR="00B50ADD" w:rsidRDefault="00B50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HG Mincho Light J">
    <w:altName w:val="Times New Roman"/>
    <w:charset w:val="00"/>
    <w:family w:val="auto"/>
    <w:pitch w:val="default"/>
  </w:font>
  <w:font w:name="EUAlbertina">
    <w:altName w:val="Times New Roman"/>
    <w:charset w:val="00"/>
    <w:family w:val="auto"/>
    <w:pitch w:val="default"/>
    <w:sig w:usb0="00000000"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E12DF" w14:textId="77777777" w:rsidR="00DE7D1A" w:rsidRDefault="00DE7D1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2FCE2" w14:textId="77777777" w:rsidR="00DE7D1A" w:rsidRDefault="00B50ADD">
    <w:pPr>
      <w:pStyle w:val="af"/>
      <w:ind w:right="284"/>
      <w:jc w:val="right"/>
    </w:pPr>
    <w:r>
      <w:fldChar w:fldCharType="begin"/>
    </w:r>
    <w:r>
      <w:instrText xml:space="preserve"> PAGE   \* MERGEFORMAT </w:instrText>
    </w:r>
    <w:r>
      <w:fldChar w:fldCharType="separate"/>
    </w:r>
    <w:r w:rsidR="003601E7">
      <w:rPr>
        <w:noProof/>
      </w:rPr>
      <w:t>42</w:t>
    </w:r>
    <w:r>
      <w:rPr>
        <w:noProof/>
      </w:rPr>
      <w:fldChar w:fldCharType="end"/>
    </w:r>
  </w:p>
  <w:p w14:paraId="066C3974" w14:textId="77777777" w:rsidR="00DE7D1A" w:rsidRDefault="00DE7D1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80141" w14:textId="77777777" w:rsidR="00DE7D1A" w:rsidRDefault="00DE7D1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DB67C" w14:textId="77777777" w:rsidR="00B50ADD" w:rsidRDefault="00B50ADD">
      <w:pPr>
        <w:spacing w:after="0" w:line="240" w:lineRule="auto"/>
      </w:pPr>
      <w:r>
        <w:separator/>
      </w:r>
    </w:p>
  </w:footnote>
  <w:footnote w:type="continuationSeparator" w:id="0">
    <w:p w14:paraId="0F55C2C0" w14:textId="77777777" w:rsidR="00B50ADD" w:rsidRDefault="00B50ADD">
      <w:pPr>
        <w:spacing w:after="0" w:line="240" w:lineRule="auto"/>
      </w:pPr>
      <w:r>
        <w:continuationSeparator/>
      </w:r>
    </w:p>
  </w:footnote>
  <w:footnote w:id="1">
    <w:p w14:paraId="238D6AA3" w14:textId="77777777" w:rsidR="00DE7D1A" w:rsidRDefault="00DE7D1A">
      <w:pPr>
        <w:pStyle w:val="af1"/>
        <w:rPr>
          <w:rFonts w:ascii="Times New Roman" w:hAnsi="Times New Roman" w:cs="Times New Roman"/>
        </w:rPr>
      </w:pPr>
      <w:r>
        <w:rPr>
          <w:rStyle w:val="afb"/>
          <w:rFonts w:ascii="Times New Roman" w:hAnsi="Times New Roman" w:cs="Times New Roman"/>
        </w:rPr>
        <w:footnoteRef/>
      </w:r>
      <w:r>
        <w:rPr>
          <w:rFonts w:ascii="Times New Roman" w:hAnsi="Times New Roman" w:cs="Times New Roman"/>
        </w:rPr>
        <w:t xml:space="preserve"> Съгласно Регламент за изпълнение (ЕС) № 215/2014 на комисията от 7 март 2014 година.</w:t>
      </w:r>
    </w:p>
  </w:footnote>
  <w:footnote w:id="2">
    <w:p w14:paraId="0340B0B5" w14:textId="77777777" w:rsidR="00DE7D1A" w:rsidRDefault="00DE7D1A">
      <w:pPr>
        <w:pStyle w:val="Default"/>
      </w:pPr>
      <w:r>
        <w:rPr>
          <w:rStyle w:val="afb"/>
        </w:rPr>
        <w:footnoteRef/>
      </w:r>
      <w:r>
        <w:rPr>
          <w:rFonts w:eastAsiaTheme="minorHAnsi"/>
          <w:sz w:val="20"/>
          <w:szCs w:val="20"/>
          <w:lang w:eastAsia="en-US"/>
        </w:rPr>
        <w:t xml:space="preserve">Този показател се отнася до всички видове участници в неравностойно положение, като например хора, изправени пред социална изолация. </w:t>
      </w:r>
      <w:r>
        <w:rPr>
          <w:sz w:val="20"/>
          <w:szCs w:val="20"/>
        </w:rPr>
        <w:t xml:space="preserve">Като пример за участник, който може да бъде посочен в рамките на този показател, е участник , незавършил начално образование и надхвърлил обичайната възраст за завършването му, обикновено участник над 10-12 г. Други биха могли да бъдат бивши затворници, наркозависими лица, и т.н. „Бездомните или засегнати от изключване от жилищно настаняване“, както и участниците „от селски райони“ следва винаги да бъдат отчитани в рамките на този показател. </w:t>
      </w:r>
    </w:p>
  </w:footnote>
  <w:footnote w:id="3">
    <w:p w14:paraId="63C7B9C9" w14:textId="77777777" w:rsidR="00DE7D1A" w:rsidRDefault="00DE7D1A">
      <w:pPr>
        <w:pStyle w:val="af1"/>
      </w:pPr>
      <w:r>
        <w:rPr>
          <w:rStyle w:val="afb"/>
        </w:rPr>
        <w:footnoteRef/>
      </w:r>
      <w:r>
        <w:rPr>
          <w:rFonts w:ascii="Times New Roman" w:hAnsi="Times New Roman" w:cs="Times New Roman"/>
        </w:rPr>
        <w:t>при напускане на операцията означава до 4 седмици след излизане на лицето от дейностите по проекта</w:t>
      </w:r>
    </w:p>
  </w:footnote>
  <w:footnote w:id="4">
    <w:p w14:paraId="002F5068" w14:textId="77777777" w:rsidR="00DE7D1A" w:rsidRDefault="00DE7D1A">
      <w:pPr>
        <w:pStyle w:val="af1"/>
      </w:pPr>
      <w:r>
        <w:rPr>
          <w:rStyle w:val="afb"/>
        </w:rPr>
        <w:footnoteRef/>
      </w:r>
      <w:r>
        <w:t xml:space="preserve">„Социални услуги“ са дейности, насочени към подкрепа на подпомаганите лица за водене на пълноценно съществуване и за социално включване в обществото. </w:t>
      </w:r>
    </w:p>
    <w:p w14:paraId="322C5DFB" w14:textId="77777777" w:rsidR="00DE7D1A" w:rsidRDefault="00DE7D1A" w:rsidP="008C1891">
      <w:pPr>
        <w:pStyle w:val="af1"/>
        <w:jc w:val="both"/>
      </w:pPr>
      <w:r>
        <w:t>„</w:t>
      </w:r>
      <w:r w:rsidRPr="008C1891">
        <w:t>Доставчици на социални услуги“ - са вписаните в регистъра на Агенцията за социално подпомагане лица съгл. чл. 18, ал.1, т. 3 и 4 от Закона за социално подпомагане (в сила до 01.07.2020 г.) и съгл. чл. 30 от Закона за социални услуги (в сила от 01.07.2020 г.). След влизане в сила на Закона за социалните услуги, доставчиците на социални услуги са длъжни да се лицензират по реда на закона и предприемат действия за привеждане на предоставяните от тях социални услуги в съответствие с неговите изисквания.</w:t>
      </w:r>
    </w:p>
  </w:footnote>
  <w:footnote w:id="5">
    <w:p w14:paraId="6B1E2280" w14:textId="77777777" w:rsidR="00DE7D1A" w:rsidRDefault="00DE7D1A">
      <w:pPr>
        <w:pStyle w:val="af1"/>
        <w:rPr>
          <w:rFonts w:ascii="Times New Roman" w:hAnsi="Times New Roman"/>
        </w:rPr>
      </w:pPr>
      <w:r>
        <w:rPr>
          <w:rFonts w:ascii="Times New Roman" w:hAnsi="Times New Roman"/>
          <w:vertAlign w:val="superscript"/>
        </w:rPr>
        <w:t xml:space="preserve">7 </w:t>
      </w:r>
      <w:r>
        <w:rPr>
          <w:rFonts w:ascii="Times New Roman" w:hAnsi="Times New Roman"/>
        </w:rPr>
        <w:t>Под „Текуща финансова година“ се разбира периодът от началото на годината до последния ден на месеца, предхождащ месеца на подаване на проектното предложение.</w:t>
      </w:r>
    </w:p>
  </w:footnote>
  <w:footnote w:id="6">
    <w:p w14:paraId="7E1E7930" w14:textId="77777777" w:rsidR="00DE7D1A" w:rsidRDefault="00DE7D1A">
      <w:pPr>
        <w:pStyle w:val="af1"/>
        <w:jc w:val="both"/>
      </w:pPr>
      <w:r>
        <w:rPr>
          <w:rStyle w:val="afb"/>
        </w:rPr>
        <w:footnoteRef/>
      </w:r>
      <w:r>
        <w:t>„Доставчици на здравни услуги“ са всички лечебни и здравни заведения, предоставящи здравни услуги като: диагностика, лечение и рехабилитация на болни; дейности, представляващи медицинско наблюдение, дейности, свързани с профилактика на болести  и ранно откриване на заболявания, както и мерки за укрепване и опазване на здравето.</w:t>
      </w:r>
    </w:p>
  </w:footnote>
  <w:footnote w:id="7">
    <w:p w14:paraId="721C2DD5" w14:textId="77777777" w:rsidR="00DE7D1A" w:rsidRDefault="00DE7D1A">
      <w:pPr>
        <w:pStyle w:val="af1"/>
        <w:jc w:val="both"/>
      </w:pPr>
      <w:r>
        <w:rPr>
          <w:rStyle w:val="afb"/>
        </w:rPr>
        <w:footnoteRef/>
      </w:r>
      <w:r>
        <w:rPr>
          <w:rFonts w:ascii="Times New Roman" w:hAnsi="Times New Roman" w:cs="Times New Roman"/>
        </w:rPr>
        <w:t>Съгласно Национален план за насърчаване на заетостта за 2017 г. При актуализиране на стойността в НПДЗ, приложима е съответната стойност от НПДЗ за календарната година, в която се обявява процедурата от МИГ.</w:t>
      </w:r>
    </w:p>
  </w:footnote>
  <w:footnote w:id="8">
    <w:p w14:paraId="3E1726E9" w14:textId="77777777" w:rsidR="00DE7D1A" w:rsidRDefault="00DE7D1A">
      <w:pPr>
        <w:pStyle w:val="af1"/>
        <w:jc w:val="both"/>
        <w:rPr>
          <w:rFonts w:ascii="Times New Roman" w:hAnsi="Times New Roman"/>
        </w:rPr>
      </w:pPr>
      <w:r>
        <w:rPr>
          <w:rFonts w:ascii="Times New Roman" w:hAnsi="Times New Roman"/>
          <w:vertAlign w:val="superscript"/>
        </w:rPr>
        <w:t>9</w:t>
      </w:r>
      <w:r>
        <w:rPr>
          <w:rFonts w:ascii="Times New Roman" w:hAnsi="Times New Roman"/>
        </w:rPr>
        <w:t>„Участници от селски райони“ са лица, които живеят в слабо населени райони, съгласно Степен на</w:t>
      </w:r>
    </w:p>
    <w:p w14:paraId="193C8D17" w14:textId="77777777" w:rsidR="00DE7D1A" w:rsidRDefault="00DE7D1A">
      <w:pPr>
        <w:pStyle w:val="af1"/>
        <w:jc w:val="both"/>
        <w:rPr>
          <w:rFonts w:ascii="Times New Roman" w:hAnsi="Times New Roman"/>
        </w:rPr>
      </w:pPr>
      <w:r>
        <w:rPr>
          <w:rFonts w:ascii="Times New Roman" w:hAnsi="Times New Roman"/>
        </w:rPr>
        <w:t>урбанизация (DEGURBA категория 3).Слабо населени райони са такива, в които над 50% от населението живее в села.</w:t>
      </w:r>
    </w:p>
  </w:footnote>
  <w:footnote w:id="9">
    <w:p w14:paraId="42FD7A08" w14:textId="77777777" w:rsidR="00DE7D1A" w:rsidRDefault="00DE7D1A">
      <w:pPr>
        <w:pStyle w:val="af1"/>
      </w:pPr>
      <w:r>
        <w:rPr>
          <w:rStyle w:val="afb"/>
        </w:rPr>
        <w:footnoteRef/>
      </w:r>
      <w:r>
        <w:rPr>
          <w:rFonts w:ascii="Times New Roman" w:hAnsi="Times New Roman" w:cs="Times New Roman"/>
        </w:rPr>
        <w:t>Под три бюджетни години следва да се разбира двете предходни и текущата бюджетна година</w:t>
      </w:r>
      <w:r>
        <w:t>.</w:t>
      </w:r>
    </w:p>
  </w:footnote>
  <w:footnote w:id="10">
    <w:p w14:paraId="113F541C" w14:textId="77777777" w:rsidR="00DE7D1A" w:rsidRDefault="00DE7D1A">
      <w:pPr>
        <w:pStyle w:val="af1"/>
        <w:jc w:val="both"/>
      </w:pPr>
      <w:r>
        <w:rPr>
          <w:rStyle w:val="afb"/>
        </w:rPr>
        <w:footnoteRef/>
      </w:r>
      <w:r>
        <w:rPr>
          <w:rFonts w:ascii="Times New Roman" w:hAnsi="Times New Roman" w:cs="Times New Roman"/>
        </w:rPr>
        <w:t>При проверка на натрупването до таваните 100 000/200 000 евро се взема предвид всяка предоставенa минимална помощ, независимо от формата, целта и източника на финансиране.</w:t>
      </w:r>
    </w:p>
  </w:footnote>
  <w:footnote w:id="11">
    <w:p w14:paraId="458A696C" w14:textId="77777777" w:rsidR="00DE7D1A" w:rsidRDefault="00DE7D1A">
      <w:pPr>
        <w:pStyle w:val="af1"/>
        <w:jc w:val="both"/>
        <w:rPr>
          <w:rFonts w:ascii="Times New Roman" w:hAnsi="Times New Roman" w:cs="Times New Roman"/>
        </w:rPr>
      </w:pPr>
      <w:r>
        <w:rPr>
          <w:rStyle w:val="afb"/>
        </w:rPr>
        <w:footnoteRef/>
      </w:r>
      <w:r>
        <w:rPr>
          <w:rFonts w:ascii="Times New Roman" w:hAnsi="Times New Roman" w:cs="Times New Roman"/>
        </w:rPr>
        <w:t>При оценка на допустимостта на кандидата, дейността и изпълнението на условията за предоставяне на минимална помощ се вземат предвид дефинициите по чл. 2, пар. 1 от Регламента.</w:t>
      </w:r>
    </w:p>
  </w:footnote>
  <w:footnote w:id="12">
    <w:p w14:paraId="69FB375D" w14:textId="77777777" w:rsidR="00DE7D1A" w:rsidRDefault="00DE7D1A">
      <w:pPr>
        <w:spacing w:before="120" w:after="120"/>
        <w:jc w:val="both"/>
        <w:rPr>
          <w:rFonts w:ascii="Times New Roman" w:hAnsi="Times New Roman" w:cs="Times New Roman"/>
          <w:sz w:val="20"/>
          <w:szCs w:val="20"/>
        </w:rPr>
      </w:pPr>
      <w:r>
        <w:rPr>
          <w:rStyle w:val="afb"/>
          <w:rFonts w:ascii="Times New Roman" w:hAnsi="Times New Roman" w:cs="Times New Roman"/>
          <w:sz w:val="20"/>
          <w:szCs w:val="20"/>
        </w:rPr>
        <w:footnoteRef/>
      </w:r>
      <w:r>
        <w:rPr>
          <w:rFonts w:ascii="Times New Roman" w:hAnsi="Times New Roman" w:cs="Times New Roman"/>
          <w:sz w:val="20"/>
          <w:szCs w:val="20"/>
        </w:rPr>
        <w:t>-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p w14:paraId="6587D089" w14:textId="77777777" w:rsidR="00DE7D1A" w:rsidRDefault="00DE7D1A">
      <w:pPr>
        <w:spacing w:before="120" w:after="120"/>
        <w:jc w:val="both"/>
        <w:rPr>
          <w:rFonts w:ascii="Times New Roman" w:hAnsi="Times New Roman" w:cs="Times New Roman"/>
          <w:sz w:val="20"/>
          <w:szCs w:val="20"/>
        </w:rPr>
      </w:pPr>
      <w:r>
        <w:rPr>
          <w:rFonts w:ascii="Times New Roman" w:hAnsi="Times New Roman" w:cs="Times New Roman"/>
          <w:sz w:val="20"/>
          <w:szCs w:val="20"/>
        </w:rPr>
        <w:t>-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w:t>
      </w:r>
    </w:p>
    <w:p w14:paraId="26580B3C" w14:textId="77777777" w:rsidR="00DE7D1A" w:rsidRDefault="00DE7D1A">
      <w:pPr>
        <w:pStyle w:val="af1"/>
        <w:jc w:val="both"/>
        <w:rPr>
          <w:rFonts w:ascii="Times New Roman" w:hAnsi="Times New Roman" w:cs="Times New Roman"/>
        </w:rPr>
      </w:pPr>
    </w:p>
  </w:footnote>
  <w:footnote w:id="13">
    <w:p w14:paraId="1AB3D31E" w14:textId="77777777" w:rsidR="00DE7D1A" w:rsidRDefault="00DE7D1A">
      <w:pPr>
        <w:pStyle w:val="af1"/>
        <w:jc w:val="both"/>
      </w:pPr>
      <w:r>
        <w:rPr>
          <w:rStyle w:val="afb"/>
        </w:rPr>
        <w:footnoteRef/>
      </w:r>
      <w:r>
        <w:rPr>
          <w:rFonts w:ascii="Times New Roman" w:hAnsi="Times New Roman" w:cs="Times New Roman"/>
        </w:rPr>
        <w:t>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C650E" w14:textId="77777777" w:rsidR="00DE7D1A" w:rsidRDefault="00DE7D1A">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AC6D1" w14:textId="77777777" w:rsidR="00DE7D1A" w:rsidRDefault="00DE7D1A">
    <w:pPr>
      <w:rPr>
        <w:b/>
        <w:sz w:val="20"/>
        <w:szCs w:val="20"/>
        <w:lang w:eastAsia="bg-BG"/>
      </w:rPr>
    </w:pPr>
    <w:r>
      <w:rPr>
        <w:noProof/>
        <w:lang w:eastAsia="bg-BG"/>
      </w:rPr>
      <w:drawing>
        <wp:anchor distT="0" distB="0" distL="114300" distR="114300" simplePos="0" relativeHeight="251656704" behindDoc="0" locked="0" layoutInCell="1" allowOverlap="0" wp14:anchorId="47527CF7" wp14:editId="4290E2C0">
          <wp:simplePos x="0" y="0"/>
          <wp:positionH relativeFrom="column">
            <wp:posOffset>5131435</wp:posOffset>
          </wp:positionH>
          <wp:positionV relativeFrom="paragraph">
            <wp:posOffset>129540</wp:posOffset>
          </wp:positionV>
          <wp:extent cx="749935" cy="736600"/>
          <wp:effectExtent l="0" t="0" r="12065" b="6350"/>
          <wp:wrapNone/>
          <wp:docPr id="6" name="Picture 2" descr="logo M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logo MKG"/>
                  <pic:cNvPicPr>
                    <a:picLocks noChangeAspect="1" noChangeArrowheads="1"/>
                  </pic:cNvPicPr>
                </pic:nvPicPr>
                <pic:blipFill>
                  <a:blip r:embed="rId1"/>
                  <a:srcRect/>
                  <a:stretch>
                    <a:fillRect/>
                  </a:stretch>
                </pic:blipFill>
                <pic:spPr>
                  <a:xfrm>
                    <a:off x="0" y="0"/>
                    <a:ext cx="749935" cy="736600"/>
                  </a:xfrm>
                  <a:prstGeom prst="rect">
                    <a:avLst/>
                  </a:prstGeom>
                  <a:noFill/>
                  <a:ln w="9525">
                    <a:noFill/>
                    <a:miter lim="800000"/>
                    <a:headEnd/>
                    <a:tailEnd/>
                  </a:ln>
                </pic:spPr>
              </pic:pic>
            </a:graphicData>
          </a:graphic>
        </wp:anchor>
      </w:drawing>
    </w:r>
    <w:r>
      <w:rPr>
        <w:noProof/>
        <w:lang w:eastAsia="bg-BG"/>
      </w:rPr>
      <w:drawing>
        <wp:anchor distT="0" distB="0" distL="114300" distR="114300" simplePos="0" relativeHeight="251657728" behindDoc="1" locked="0" layoutInCell="1" allowOverlap="1" wp14:anchorId="4B57C37B" wp14:editId="00F31676">
          <wp:simplePos x="0" y="0"/>
          <wp:positionH relativeFrom="column">
            <wp:posOffset>4142740</wp:posOffset>
          </wp:positionH>
          <wp:positionV relativeFrom="paragraph">
            <wp:posOffset>123190</wp:posOffset>
          </wp:positionV>
          <wp:extent cx="781050" cy="619760"/>
          <wp:effectExtent l="0" t="0" r="0" b="889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2"/>
                  <a:srcRect l="-311" t="-310" r="-311" b="-310"/>
                  <a:stretch>
                    <a:fillRect/>
                  </a:stretch>
                </pic:blipFill>
                <pic:spPr>
                  <a:xfrm>
                    <a:off x="0" y="0"/>
                    <a:ext cx="781050" cy="619760"/>
                  </a:xfrm>
                  <a:prstGeom prst="rect">
                    <a:avLst/>
                  </a:prstGeom>
                  <a:solidFill>
                    <a:srgbClr val="FFFFFF">
                      <a:alpha val="0"/>
                    </a:srgbClr>
                  </a:solidFill>
                  <a:ln w="9525">
                    <a:noFill/>
                    <a:miter lim="800000"/>
                    <a:headEnd/>
                    <a:tailEnd/>
                  </a:ln>
                </pic:spPr>
              </pic:pic>
            </a:graphicData>
          </a:graphic>
        </wp:anchor>
      </w:drawing>
    </w:r>
    <w:r>
      <w:rPr>
        <w:rFonts w:ascii="Arial" w:eastAsia="Arial" w:hAnsi="Arial"/>
        <w:noProof/>
        <w:sz w:val="20"/>
        <w:szCs w:val="20"/>
        <w:lang w:eastAsia="bg-BG"/>
      </w:rPr>
      <w:drawing>
        <wp:anchor distT="0" distB="0" distL="114935" distR="114935" simplePos="0" relativeHeight="251658752" behindDoc="0" locked="0" layoutInCell="1" allowOverlap="1" wp14:anchorId="08B15901" wp14:editId="16B02E52">
          <wp:simplePos x="0" y="0"/>
          <wp:positionH relativeFrom="column">
            <wp:posOffset>106680</wp:posOffset>
          </wp:positionH>
          <wp:positionV relativeFrom="paragraph">
            <wp:posOffset>83820</wp:posOffset>
          </wp:positionV>
          <wp:extent cx="1012190" cy="771525"/>
          <wp:effectExtent l="0" t="0" r="16510" b="952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3"/>
                  <a:srcRect l="-822" t="-1149" r="-822" b="-1149"/>
                  <a:stretch>
                    <a:fillRect/>
                  </a:stretch>
                </pic:blipFill>
                <pic:spPr>
                  <a:xfrm>
                    <a:off x="0" y="0"/>
                    <a:ext cx="1012190" cy="771525"/>
                  </a:xfrm>
                  <a:prstGeom prst="rect">
                    <a:avLst/>
                  </a:prstGeom>
                  <a:solidFill>
                    <a:srgbClr val="FFFFFF">
                      <a:alpha val="0"/>
                    </a:srgbClr>
                  </a:solidFill>
                  <a:ln w="9525">
                    <a:noFill/>
                    <a:miter lim="800000"/>
                    <a:headEnd/>
                    <a:tailEnd/>
                  </a:ln>
                </pic:spPr>
              </pic:pic>
            </a:graphicData>
          </a:graphic>
        </wp:anchor>
      </w:drawing>
    </w:r>
  </w:p>
  <w:p w14:paraId="766A41EC" w14:textId="77777777" w:rsidR="00DE7D1A" w:rsidRDefault="00DE7D1A">
    <w:pPr>
      <w:jc w:val="center"/>
    </w:pPr>
    <w:r>
      <w:rPr>
        <w:noProof/>
        <w:lang w:eastAsia="bg-BG"/>
      </w:rPr>
      <w:drawing>
        <wp:inline distT="0" distB="0" distL="0" distR="0" wp14:anchorId="7FEDAC2E" wp14:editId="5BF36598">
          <wp:extent cx="1798955" cy="504190"/>
          <wp:effectExtent l="0" t="0" r="10795" b="1016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4"/>
                  <a:srcRect l="-166" t="-623" r="-166" b="-623"/>
                  <a:stretch>
                    <a:fillRect/>
                  </a:stretch>
                </pic:blipFill>
                <pic:spPr>
                  <a:xfrm>
                    <a:off x="0" y="0"/>
                    <a:ext cx="1798955" cy="504190"/>
                  </a:xfrm>
                  <a:prstGeom prst="rect">
                    <a:avLst/>
                  </a:prstGeom>
                  <a:solidFill>
                    <a:srgbClr val="FFFFFF">
                      <a:alpha val="0"/>
                    </a:srgbClr>
                  </a:solidFill>
                  <a:ln w="9525">
                    <a:noFill/>
                    <a:miter lim="800000"/>
                    <a:headEnd/>
                    <a:tailEnd/>
                  </a:ln>
                </pic:spPr>
              </pic:pic>
            </a:graphicData>
          </a:graphic>
        </wp:inline>
      </w:drawing>
    </w:r>
  </w:p>
  <w:p w14:paraId="657000A1" w14:textId="77777777" w:rsidR="00DE7D1A" w:rsidRDefault="00DE7D1A">
    <w:pPr>
      <w:pStyle w:val="aff"/>
      <w:pBdr>
        <w:bottom w:val="single" w:sz="0" w:space="2" w:color="000000"/>
      </w:pBdr>
    </w:pPr>
    <w:r>
      <w:rPr>
        <w:rFonts w:ascii="Tahoma" w:eastAsia="Times New Roman" w:hAnsi="Tahoma" w:cs="Tahoma"/>
        <w:b/>
        <w:bCs/>
        <w:sz w:val="20"/>
        <w:szCs w:val="20"/>
        <w:lang w:val="bg-BG" w:eastAsia="bg-BG"/>
      </w:rPr>
      <w:t>Европейски структурни и инвестиционни фондове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BE967" w14:textId="77777777" w:rsidR="00DE7D1A" w:rsidRDefault="00DE7D1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E3998"/>
    <w:multiLevelType w:val="multilevel"/>
    <w:tmpl w:val="01EE3998"/>
    <w:lvl w:ilvl="0">
      <w:start w:val="1"/>
      <w:numFmt w:val="bullet"/>
      <w:pStyle w:val="Claus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94DC5"/>
    <w:multiLevelType w:val="multilevel"/>
    <w:tmpl w:val="07394DC5"/>
    <w:lvl w:ilvl="0">
      <w:start w:val="1"/>
      <w:numFmt w:val="decimal"/>
      <w:pStyle w:val="GfAheading1"/>
      <w:lvlText w:val="%1."/>
      <w:lvlJc w:val="left"/>
      <w:pPr>
        <w:tabs>
          <w:tab w:val="left" w:pos="1070"/>
        </w:tabs>
        <w:ind w:left="1070" w:hanging="360"/>
      </w:pPr>
      <w:rPr>
        <w:rFonts w:hint="default"/>
      </w:rPr>
    </w:lvl>
    <w:lvl w:ilvl="1">
      <w:start w:val="1"/>
      <w:numFmt w:val="decimal"/>
      <w:lvlText w:val="%1.%2."/>
      <w:lvlJc w:val="left"/>
      <w:pPr>
        <w:tabs>
          <w:tab w:val="left" w:pos="1353"/>
        </w:tabs>
        <w:ind w:left="1353" w:hanging="36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2520"/>
        </w:tabs>
        <w:ind w:left="2520" w:hanging="720"/>
      </w:pPr>
      <w:rPr>
        <w:rFonts w:hint="default"/>
      </w:rPr>
    </w:lvl>
    <w:lvl w:ilvl="4">
      <w:start w:val="1"/>
      <w:numFmt w:val="decimal"/>
      <w:lvlText w:val="%1.%2.%3.%4.%5."/>
      <w:lvlJc w:val="left"/>
      <w:pPr>
        <w:tabs>
          <w:tab w:val="left" w:pos="3240"/>
        </w:tabs>
        <w:ind w:left="3240" w:hanging="1080"/>
      </w:pPr>
      <w:rPr>
        <w:rFonts w:hint="default"/>
      </w:rPr>
    </w:lvl>
    <w:lvl w:ilvl="5">
      <w:start w:val="1"/>
      <w:numFmt w:val="decimal"/>
      <w:lvlText w:val="%1.%2.%3.%4.%5.%6."/>
      <w:lvlJc w:val="left"/>
      <w:pPr>
        <w:tabs>
          <w:tab w:val="left" w:pos="3600"/>
        </w:tabs>
        <w:ind w:left="3600" w:hanging="1080"/>
      </w:pPr>
      <w:rPr>
        <w:rFonts w:hint="default"/>
      </w:rPr>
    </w:lvl>
    <w:lvl w:ilvl="6">
      <w:start w:val="1"/>
      <w:numFmt w:val="decimal"/>
      <w:lvlText w:val="%1.%2.%3.%4.%5.%6.%7."/>
      <w:lvlJc w:val="left"/>
      <w:pPr>
        <w:tabs>
          <w:tab w:val="left" w:pos="4320"/>
        </w:tabs>
        <w:ind w:left="4320" w:hanging="1440"/>
      </w:pPr>
      <w:rPr>
        <w:rFonts w:hint="default"/>
      </w:rPr>
    </w:lvl>
    <w:lvl w:ilvl="7">
      <w:start w:val="1"/>
      <w:numFmt w:val="decimal"/>
      <w:lvlText w:val="%1.%2.%3.%4.%5.%6.%7.%8."/>
      <w:lvlJc w:val="left"/>
      <w:pPr>
        <w:tabs>
          <w:tab w:val="left" w:pos="4680"/>
        </w:tabs>
        <w:ind w:left="4680" w:hanging="1440"/>
      </w:pPr>
      <w:rPr>
        <w:rFonts w:hint="default"/>
      </w:rPr>
    </w:lvl>
    <w:lvl w:ilvl="8">
      <w:start w:val="1"/>
      <w:numFmt w:val="decimal"/>
      <w:lvlText w:val="%1.%2.%3.%4.%5.%6.%7.%8.%9."/>
      <w:lvlJc w:val="left"/>
      <w:pPr>
        <w:tabs>
          <w:tab w:val="left" w:pos="5400"/>
        </w:tabs>
        <w:ind w:left="5400" w:hanging="1800"/>
      </w:pPr>
      <w:rPr>
        <w:rFonts w:hint="default"/>
      </w:rPr>
    </w:lvl>
  </w:abstractNum>
  <w:abstractNum w:abstractNumId="2" w15:restartNumberingAfterBreak="0">
    <w:nsid w:val="15E9335E"/>
    <w:multiLevelType w:val="multilevel"/>
    <w:tmpl w:val="15E9335E"/>
    <w:lvl w:ilvl="0">
      <w:start w:val="4"/>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FD41DB"/>
    <w:multiLevelType w:val="multilevel"/>
    <w:tmpl w:val="19FD41DB"/>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1361799"/>
    <w:multiLevelType w:val="multilevel"/>
    <w:tmpl w:val="3136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7B7C9D"/>
    <w:multiLevelType w:val="multilevel"/>
    <w:tmpl w:val="317B7C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7B7B99"/>
    <w:multiLevelType w:val="multilevel"/>
    <w:tmpl w:val="407B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BD2819"/>
    <w:multiLevelType w:val="multilevel"/>
    <w:tmpl w:val="41BD2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767892"/>
    <w:multiLevelType w:val="multilevel"/>
    <w:tmpl w:val="5076789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5F55BE5"/>
    <w:multiLevelType w:val="multilevel"/>
    <w:tmpl w:val="55F55B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342258"/>
    <w:multiLevelType w:val="multilevel"/>
    <w:tmpl w:val="5B3422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B214C9"/>
    <w:multiLevelType w:val="multilevel"/>
    <w:tmpl w:val="5BB214C9"/>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5B44D1"/>
    <w:multiLevelType w:val="multilevel"/>
    <w:tmpl w:val="5D5B44D1"/>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6C38CE"/>
    <w:multiLevelType w:val="multilevel"/>
    <w:tmpl w:val="5D6C38CE"/>
    <w:lvl w:ilvl="0">
      <w:start w:val="1"/>
      <w:numFmt w:val="bullet"/>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570BAF"/>
    <w:multiLevelType w:val="multilevel"/>
    <w:tmpl w:val="5E57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212640"/>
    <w:multiLevelType w:val="multilevel"/>
    <w:tmpl w:val="63212640"/>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A876E0"/>
    <w:multiLevelType w:val="multilevel"/>
    <w:tmpl w:val="66A876E0"/>
    <w:lvl w:ilvl="0">
      <w:start w:val="1"/>
      <w:numFmt w:val="bullet"/>
      <w:lvlText w:val=""/>
      <w:lvlJc w:val="left"/>
      <w:pPr>
        <w:tabs>
          <w:tab w:val="left"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38089B"/>
    <w:multiLevelType w:val="multilevel"/>
    <w:tmpl w:val="6F38089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A101B8"/>
    <w:multiLevelType w:val="multilevel"/>
    <w:tmpl w:val="71A101B8"/>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9" w15:restartNumberingAfterBreak="0">
    <w:nsid w:val="72F85439"/>
    <w:multiLevelType w:val="multilevel"/>
    <w:tmpl w:val="72F85439"/>
    <w:lvl w:ilvl="0">
      <w:start w:val="1"/>
      <w:numFmt w:val="bullet"/>
      <w:lvlText w:val=""/>
      <w:lvlJc w:val="left"/>
      <w:pPr>
        <w:tabs>
          <w:tab w:val="left" w:pos="1620"/>
        </w:tabs>
        <w:ind w:left="1620" w:hanging="360"/>
      </w:pPr>
      <w:rPr>
        <w:rFonts w:ascii="Wingdings" w:hAnsi="Wingdings" w:hint="default"/>
        <w:b w:val="0"/>
        <w:i w:val="0"/>
      </w:rPr>
    </w:lvl>
    <w:lvl w:ilvl="1">
      <w:start w:val="23"/>
      <w:numFmt w:val="bullet"/>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A00510"/>
    <w:multiLevelType w:val="multilevel"/>
    <w:tmpl w:val="73A00510"/>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1" w15:restartNumberingAfterBreak="0">
    <w:nsid w:val="7E141820"/>
    <w:multiLevelType w:val="multilevel"/>
    <w:tmpl w:val="7E14182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18"/>
  </w:num>
  <w:num w:numId="4">
    <w:abstractNumId w:val="13"/>
  </w:num>
  <w:num w:numId="5">
    <w:abstractNumId w:val="5"/>
  </w:num>
  <w:num w:numId="6">
    <w:abstractNumId w:val="9"/>
  </w:num>
  <w:num w:numId="7">
    <w:abstractNumId w:val="15"/>
  </w:num>
  <w:num w:numId="8">
    <w:abstractNumId w:val="10"/>
  </w:num>
  <w:num w:numId="9">
    <w:abstractNumId w:val="6"/>
  </w:num>
  <w:num w:numId="10">
    <w:abstractNumId w:val="3"/>
  </w:num>
  <w:num w:numId="11">
    <w:abstractNumId w:val="11"/>
  </w:num>
  <w:num w:numId="12">
    <w:abstractNumId w:val="12"/>
  </w:num>
  <w:num w:numId="13">
    <w:abstractNumId w:val="14"/>
  </w:num>
  <w:num w:numId="14">
    <w:abstractNumId w:val="17"/>
  </w:num>
  <w:num w:numId="15">
    <w:abstractNumId w:val="20"/>
  </w:num>
  <w:num w:numId="16">
    <w:abstractNumId w:val="4"/>
  </w:num>
  <w:num w:numId="17">
    <w:abstractNumId w:val="21"/>
  </w:num>
  <w:num w:numId="18">
    <w:abstractNumId w:val="8"/>
  </w:num>
  <w:num w:numId="19">
    <w:abstractNumId w:val="7"/>
  </w:num>
  <w:num w:numId="20">
    <w:abstractNumId w:val="2"/>
  </w:num>
  <w:num w:numId="21">
    <w:abstractNumId w:val="1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72B1"/>
    <w:rsid w:val="00002EB0"/>
    <w:rsid w:val="00003CF0"/>
    <w:rsid w:val="000042E2"/>
    <w:rsid w:val="00004D24"/>
    <w:rsid w:val="0000793A"/>
    <w:rsid w:val="00007A2C"/>
    <w:rsid w:val="00007D9A"/>
    <w:rsid w:val="00010501"/>
    <w:rsid w:val="000115A9"/>
    <w:rsid w:val="000116E1"/>
    <w:rsid w:val="0001460B"/>
    <w:rsid w:val="000169F0"/>
    <w:rsid w:val="000200FF"/>
    <w:rsid w:val="0002102E"/>
    <w:rsid w:val="00021ABF"/>
    <w:rsid w:val="00021FCF"/>
    <w:rsid w:val="000231F8"/>
    <w:rsid w:val="00024254"/>
    <w:rsid w:val="00024D8A"/>
    <w:rsid w:val="00024F16"/>
    <w:rsid w:val="0002748D"/>
    <w:rsid w:val="00030119"/>
    <w:rsid w:val="00030653"/>
    <w:rsid w:val="00031D4A"/>
    <w:rsid w:val="00032BF1"/>
    <w:rsid w:val="00032FA8"/>
    <w:rsid w:val="000337E9"/>
    <w:rsid w:val="00034230"/>
    <w:rsid w:val="00034E22"/>
    <w:rsid w:val="00035BF0"/>
    <w:rsid w:val="0003600D"/>
    <w:rsid w:val="00042ECB"/>
    <w:rsid w:val="0004418A"/>
    <w:rsid w:val="00044DFD"/>
    <w:rsid w:val="000453BA"/>
    <w:rsid w:val="0004629F"/>
    <w:rsid w:val="00050091"/>
    <w:rsid w:val="0005088E"/>
    <w:rsid w:val="00051212"/>
    <w:rsid w:val="00051951"/>
    <w:rsid w:val="00052675"/>
    <w:rsid w:val="000553B8"/>
    <w:rsid w:val="00055DC7"/>
    <w:rsid w:val="00057246"/>
    <w:rsid w:val="00057EEE"/>
    <w:rsid w:val="0006081F"/>
    <w:rsid w:val="0006180A"/>
    <w:rsid w:val="00066376"/>
    <w:rsid w:val="00070D75"/>
    <w:rsid w:val="0007304D"/>
    <w:rsid w:val="00076024"/>
    <w:rsid w:val="00076BB2"/>
    <w:rsid w:val="00076BEE"/>
    <w:rsid w:val="00082C4C"/>
    <w:rsid w:val="000850FD"/>
    <w:rsid w:val="00086BE6"/>
    <w:rsid w:val="00086F42"/>
    <w:rsid w:val="00091B9D"/>
    <w:rsid w:val="0009305A"/>
    <w:rsid w:val="00093CB8"/>
    <w:rsid w:val="00094C88"/>
    <w:rsid w:val="00094D3B"/>
    <w:rsid w:val="000968B1"/>
    <w:rsid w:val="0009715C"/>
    <w:rsid w:val="000A085D"/>
    <w:rsid w:val="000A0E65"/>
    <w:rsid w:val="000A2724"/>
    <w:rsid w:val="000A279F"/>
    <w:rsid w:val="000A44DC"/>
    <w:rsid w:val="000A5300"/>
    <w:rsid w:val="000A5CE0"/>
    <w:rsid w:val="000B009A"/>
    <w:rsid w:val="000B0A5C"/>
    <w:rsid w:val="000B2CAC"/>
    <w:rsid w:val="000B3E65"/>
    <w:rsid w:val="000B434E"/>
    <w:rsid w:val="000B5C62"/>
    <w:rsid w:val="000B6C99"/>
    <w:rsid w:val="000B6FE7"/>
    <w:rsid w:val="000C1ED2"/>
    <w:rsid w:val="000C2033"/>
    <w:rsid w:val="000C7DC3"/>
    <w:rsid w:val="000D0421"/>
    <w:rsid w:val="000D043C"/>
    <w:rsid w:val="000D0F92"/>
    <w:rsid w:val="000D11C9"/>
    <w:rsid w:val="000D139D"/>
    <w:rsid w:val="000D3C1D"/>
    <w:rsid w:val="000D7807"/>
    <w:rsid w:val="000D7FAC"/>
    <w:rsid w:val="000E0306"/>
    <w:rsid w:val="000E0E0D"/>
    <w:rsid w:val="000E733F"/>
    <w:rsid w:val="000E7DB1"/>
    <w:rsid w:val="000F12A8"/>
    <w:rsid w:val="000F34C6"/>
    <w:rsid w:val="000F364C"/>
    <w:rsid w:val="000F3895"/>
    <w:rsid w:val="000F4269"/>
    <w:rsid w:val="000F4330"/>
    <w:rsid w:val="000F4530"/>
    <w:rsid w:val="000F48CF"/>
    <w:rsid w:val="000F79CE"/>
    <w:rsid w:val="0010018A"/>
    <w:rsid w:val="001028C1"/>
    <w:rsid w:val="00102998"/>
    <w:rsid w:val="00103CE2"/>
    <w:rsid w:val="00105C86"/>
    <w:rsid w:val="00105E90"/>
    <w:rsid w:val="001101A8"/>
    <w:rsid w:val="001109CD"/>
    <w:rsid w:val="00112F66"/>
    <w:rsid w:val="00113B50"/>
    <w:rsid w:val="00114FDA"/>
    <w:rsid w:val="00120E24"/>
    <w:rsid w:val="00122A71"/>
    <w:rsid w:val="00125228"/>
    <w:rsid w:val="00126219"/>
    <w:rsid w:val="00126ABF"/>
    <w:rsid w:val="00126AF0"/>
    <w:rsid w:val="00126D51"/>
    <w:rsid w:val="00126E4D"/>
    <w:rsid w:val="0013078E"/>
    <w:rsid w:val="00130D9A"/>
    <w:rsid w:val="00132B9C"/>
    <w:rsid w:val="00132E8E"/>
    <w:rsid w:val="00132F68"/>
    <w:rsid w:val="00133C7F"/>
    <w:rsid w:val="0013417C"/>
    <w:rsid w:val="00135259"/>
    <w:rsid w:val="001369FC"/>
    <w:rsid w:val="0013726B"/>
    <w:rsid w:val="00137CCA"/>
    <w:rsid w:val="00140F53"/>
    <w:rsid w:val="001427F5"/>
    <w:rsid w:val="00143716"/>
    <w:rsid w:val="001440AE"/>
    <w:rsid w:val="00145349"/>
    <w:rsid w:val="00146782"/>
    <w:rsid w:val="001471F6"/>
    <w:rsid w:val="001472A9"/>
    <w:rsid w:val="00151627"/>
    <w:rsid w:val="00153C49"/>
    <w:rsid w:val="0015550A"/>
    <w:rsid w:val="00155F3F"/>
    <w:rsid w:val="0015716B"/>
    <w:rsid w:val="00160077"/>
    <w:rsid w:val="00161D6B"/>
    <w:rsid w:val="00162969"/>
    <w:rsid w:val="0016317B"/>
    <w:rsid w:val="00170A94"/>
    <w:rsid w:val="001724A4"/>
    <w:rsid w:val="00172B10"/>
    <w:rsid w:val="001737C2"/>
    <w:rsid w:val="00174F73"/>
    <w:rsid w:val="00176BD7"/>
    <w:rsid w:val="00177AC9"/>
    <w:rsid w:val="001814D2"/>
    <w:rsid w:val="00181B59"/>
    <w:rsid w:val="00183414"/>
    <w:rsid w:val="00191A3A"/>
    <w:rsid w:val="00191DE2"/>
    <w:rsid w:val="00192BC7"/>
    <w:rsid w:val="00193417"/>
    <w:rsid w:val="00194CB8"/>
    <w:rsid w:val="001A10B1"/>
    <w:rsid w:val="001A2DB4"/>
    <w:rsid w:val="001A5A94"/>
    <w:rsid w:val="001A5FDC"/>
    <w:rsid w:val="001A5FF7"/>
    <w:rsid w:val="001A6A41"/>
    <w:rsid w:val="001B2874"/>
    <w:rsid w:val="001B36AA"/>
    <w:rsid w:val="001B3E49"/>
    <w:rsid w:val="001B51B3"/>
    <w:rsid w:val="001B56F3"/>
    <w:rsid w:val="001B659C"/>
    <w:rsid w:val="001B6AB1"/>
    <w:rsid w:val="001B7383"/>
    <w:rsid w:val="001C015F"/>
    <w:rsid w:val="001C073C"/>
    <w:rsid w:val="001C0BDE"/>
    <w:rsid w:val="001C0CD4"/>
    <w:rsid w:val="001C0EC4"/>
    <w:rsid w:val="001C1086"/>
    <w:rsid w:val="001C10FB"/>
    <w:rsid w:val="001C5F75"/>
    <w:rsid w:val="001C75EE"/>
    <w:rsid w:val="001D09EC"/>
    <w:rsid w:val="001D19B0"/>
    <w:rsid w:val="001D3565"/>
    <w:rsid w:val="001D687A"/>
    <w:rsid w:val="001D6EC9"/>
    <w:rsid w:val="001D766B"/>
    <w:rsid w:val="001D79C3"/>
    <w:rsid w:val="001E3FB7"/>
    <w:rsid w:val="001E48A6"/>
    <w:rsid w:val="001E4BCE"/>
    <w:rsid w:val="001E5240"/>
    <w:rsid w:val="001E6714"/>
    <w:rsid w:val="001E6F7A"/>
    <w:rsid w:val="001E785E"/>
    <w:rsid w:val="001F08FA"/>
    <w:rsid w:val="001F1338"/>
    <w:rsid w:val="001F1713"/>
    <w:rsid w:val="001F3B97"/>
    <w:rsid w:val="001F4EAF"/>
    <w:rsid w:val="001F4F5B"/>
    <w:rsid w:val="001F6AFD"/>
    <w:rsid w:val="001F6E67"/>
    <w:rsid w:val="001F6EAE"/>
    <w:rsid w:val="001F7EE8"/>
    <w:rsid w:val="00200B88"/>
    <w:rsid w:val="00204158"/>
    <w:rsid w:val="00207805"/>
    <w:rsid w:val="00210909"/>
    <w:rsid w:val="00211624"/>
    <w:rsid w:val="00212562"/>
    <w:rsid w:val="00213AE4"/>
    <w:rsid w:val="0021417F"/>
    <w:rsid w:val="00214335"/>
    <w:rsid w:val="002147BB"/>
    <w:rsid w:val="00215ED0"/>
    <w:rsid w:val="002163CC"/>
    <w:rsid w:val="00217606"/>
    <w:rsid w:val="00217D70"/>
    <w:rsid w:val="00224D80"/>
    <w:rsid w:val="00230D02"/>
    <w:rsid w:val="00231C6B"/>
    <w:rsid w:val="002325A3"/>
    <w:rsid w:val="00232C12"/>
    <w:rsid w:val="002347A2"/>
    <w:rsid w:val="00234C88"/>
    <w:rsid w:val="0023606E"/>
    <w:rsid w:val="00237BC8"/>
    <w:rsid w:val="0024057E"/>
    <w:rsid w:val="002427C0"/>
    <w:rsid w:val="00242F63"/>
    <w:rsid w:val="002437FE"/>
    <w:rsid w:val="0024413F"/>
    <w:rsid w:val="0024442D"/>
    <w:rsid w:val="00245C8D"/>
    <w:rsid w:val="002472B1"/>
    <w:rsid w:val="00251868"/>
    <w:rsid w:val="002530D9"/>
    <w:rsid w:val="00253A0E"/>
    <w:rsid w:val="002579C2"/>
    <w:rsid w:val="00261BCB"/>
    <w:rsid w:val="0026201E"/>
    <w:rsid w:val="002624D0"/>
    <w:rsid w:val="00266632"/>
    <w:rsid w:val="00267B72"/>
    <w:rsid w:val="002705DF"/>
    <w:rsid w:val="002709D4"/>
    <w:rsid w:val="00271B57"/>
    <w:rsid w:val="00272027"/>
    <w:rsid w:val="0027284B"/>
    <w:rsid w:val="002738F2"/>
    <w:rsid w:val="00274833"/>
    <w:rsid w:val="002806B6"/>
    <w:rsid w:val="00280996"/>
    <w:rsid w:val="0028261F"/>
    <w:rsid w:val="00283D2A"/>
    <w:rsid w:val="0029231E"/>
    <w:rsid w:val="00294470"/>
    <w:rsid w:val="0029462F"/>
    <w:rsid w:val="00295657"/>
    <w:rsid w:val="00295C49"/>
    <w:rsid w:val="0029608B"/>
    <w:rsid w:val="0029712A"/>
    <w:rsid w:val="002979A5"/>
    <w:rsid w:val="00297C8B"/>
    <w:rsid w:val="002A18BB"/>
    <w:rsid w:val="002A1C47"/>
    <w:rsid w:val="002A35B4"/>
    <w:rsid w:val="002A4342"/>
    <w:rsid w:val="002A5C2C"/>
    <w:rsid w:val="002B3008"/>
    <w:rsid w:val="002B3638"/>
    <w:rsid w:val="002B4BA9"/>
    <w:rsid w:val="002B4F5F"/>
    <w:rsid w:val="002B57B9"/>
    <w:rsid w:val="002B6869"/>
    <w:rsid w:val="002B7CE6"/>
    <w:rsid w:val="002C08E5"/>
    <w:rsid w:val="002C1B91"/>
    <w:rsid w:val="002C22A0"/>
    <w:rsid w:val="002C2E1C"/>
    <w:rsid w:val="002C6536"/>
    <w:rsid w:val="002C6D30"/>
    <w:rsid w:val="002C6DCA"/>
    <w:rsid w:val="002D21C9"/>
    <w:rsid w:val="002D317D"/>
    <w:rsid w:val="002D3CC2"/>
    <w:rsid w:val="002D4B6A"/>
    <w:rsid w:val="002D6BBF"/>
    <w:rsid w:val="002E14DD"/>
    <w:rsid w:val="002E2406"/>
    <w:rsid w:val="002E2848"/>
    <w:rsid w:val="002E3752"/>
    <w:rsid w:val="002E3AEB"/>
    <w:rsid w:val="002E3F64"/>
    <w:rsid w:val="002E51E9"/>
    <w:rsid w:val="002E5982"/>
    <w:rsid w:val="002E611C"/>
    <w:rsid w:val="002E634F"/>
    <w:rsid w:val="002F0B90"/>
    <w:rsid w:val="002F38F1"/>
    <w:rsid w:val="002F3A94"/>
    <w:rsid w:val="002F3B1E"/>
    <w:rsid w:val="002F3F48"/>
    <w:rsid w:val="002F4672"/>
    <w:rsid w:val="002F469E"/>
    <w:rsid w:val="002F5D5B"/>
    <w:rsid w:val="002F6DF2"/>
    <w:rsid w:val="0030041B"/>
    <w:rsid w:val="0030042E"/>
    <w:rsid w:val="00300744"/>
    <w:rsid w:val="00302CD6"/>
    <w:rsid w:val="00303BC8"/>
    <w:rsid w:val="003042E0"/>
    <w:rsid w:val="003046F0"/>
    <w:rsid w:val="00311677"/>
    <w:rsid w:val="003140CA"/>
    <w:rsid w:val="00314625"/>
    <w:rsid w:val="00317963"/>
    <w:rsid w:val="00321C67"/>
    <w:rsid w:val="00322E88"/>
    <w:rsid w:val="00323C49"/>
    <w:rsid w:val="00323E9F"/>
    <w:rsid w:val="00325CC3"/>
    <w:rsid w:val="00326D21"/>
    <w:rsid w:val="00326D6A"/>
    <w:rsid w:val="00330F66"/>
    <w:rsid w:val="00332BCF"/>
    <w:rsid w:val="00333F4D"/>
    <w:rsid w:val="00336378"/>
    <w:rsid w:val="00336694"/>
    <w:rsid w:val="0033696D"/>
    <w:rsid w:val="00341100"/>
    <w:rsid w:val="0034132A"/>
    <w:rsid w:val="00341C34"/>
    <w:rsid w:val="0034261A"/>
    <w:rsid w:val="003429B7"/>
    <w:rsid w:val="00342B4D"/>
    <w:rsid w:val="0034337C"/>
    <w:rsid w:val="00345DE7"/>
    <w:rsid w:val="00346917"/>
    <w:rsid w:val="00347137"/>
    <w:rsid w:val="00347CC2"/>
    <w:rsid w:val="00351445"/>
    <w:rsid w:val="0035532D"/>
    <w:rsid w:val="00356774"/>
    <w:rsid w:val="00356B86"/>
    <w:rsid w:val="003601E7"/>
    <w:rsid w:val="0036146A"/>
    <w:rsid w:val="0036377C"/>
    <w:rsid w:val="0036385D"/>
    <w:rsid w:val="0036522A"/>
    <w:rsid w:val="003662F6"/>
    <w:rsid w:val="0036775C"/>
    <w:rsid w:val="00367965"/>
    <w:rsid w:val="00370198"/>
    <w:rsid w:val="00370BCD"/>
    <w:rsid w:val="0037199F"/>
    <w:rsid w:val="00371A4E"/>
    <w:rsid w:val="00371D3E"/>
    <w:rsid w:val="00374478"/>
    <w:rsid w:val="00376D24"/>
    <w:rsid w:val="0037711F"/>
    <w:rsid w:val="003807C9"/>
    <w:rsid w:val="003821AB"/>
    <w:rsid w:val="00384A4D"/>
    <w:rsid w:val="00384F72"/>
    <w:rsid w:val="0038561F"/>
    <w:rsid w:val="00386476"/>
    <w:rsid w:val="003906C1"/>
    <w:rsid w:val="0039200E"/>
    <w:rsid w:val="003936F8"/>
    <w:rsid w:val="00393E4C"/>
    <w:rsid w:val="003A2D4B"/>
    <w:rsid w:val="003A3B4D"/>
    <w:rsid w:val="003A3F11"/>
    <w:rsid w:val="003A4E3A"/>
    <w:rsid w:val="003A60E1"/>
    <w:rsid w:val="003A69A8"/>
    <w:rsid w:val="003A71D9"/>
    <w:rsid w:val="003A76CA"/>
    <w:rsid w:val="003B2B99"/>
    <w:rsid w:val="003B2D0A"/>
    <w:rsid w:val="003B468D"/>
    <w:rsid w:val="003C1DEB"/>
    <w:rsid w:val="003C2028"/>
    <w:rsid w:val="003C2424"/>
    <w:rsid w:val="003C25DD"/>
    <w:rsid w:val="003C33EB"/>
    <w:rsid w:val="003C3D76"/>
    <w:rsid w:val="003C3FFC"/>
    <w:rsid w:val="003C695B"/>
    <w:rsid w:val="003D073C"/>
    <w:rsid w:val="003D18FC"/>
    <w:rsid w:val="003D4610"/>
    <w:rsid w:val="003D54AF"/>
    <w:rsid w:val="003D562F"/>
    <w:rsid w:val="003D58D9"/>
    <w:rsid w:val="003D5B95"/>
    <w:rsid w:val="003D671F"/>
    <w:rsid w:val="003D6A20"/>
    <w:rsid w:val="003E05FD"/>
    <w:rsid w:val="003E08A5"/>
    <w:rsid w:val="003E11F7"/>
    <w:rsid w:val="003E1A50"/>
    <w:rsid w:val="003E2E3B"/>
    <w:rsid w:val="003E34D6"/>
    <w:rsid w:val="003E44C0"/>
    <w:rsid w:val="003E462F"/>
    <w:rsid w:val="003E5AB2"/>
    <w:rsid w:val="003E6A13"/>
    <w:rsid w:val="003E6C82"/>
    <w:rsid w:val="003E7E91"/>
    <w:rsid w:val="003F0F5A"/>
    <w:rsid w:val="003F2354"/>
    <w:rsid w:val="003F2602"/>
    <w:rsid w:val="003F26EA"/>
    <w:rsid w:val="003F294E"/>
    <w:rsid w:val="003F5861"/>
    <w:rsid w:val="003F6AAB"/>
    <w:rsid w:val="00400C93"/>
    <w:rsid w:val="00401BF0"/>
    <w:rsid w:val="00401CC9"/>
    <w:rsid w:val="00403266"/>
    <w:rsid w:val="00403716"/>
    <w:rsid w:val="004039A7"/>
    <w:rsid w:val="004041E9"/>
    <w:rsid w:val="00404799"/>
    <w:rsid w:val="00406230"/>
    <w:rsid w:val="004102AA"/>
    <w:rsid w:val="00410B44"/>
    <w:rsid w:val="00412C0B"/>
    <w:rsid w:val="00414368"/>
    <w:rsid w:val="004145EF"/>
    <w:rsid w:val="004150C6"/>
    <w:rsid w:val="00415338"/>
    <w:rsid w:val="00415643"/>
    <w:rsid w:val="00416699"/>
    <w:rsid w:val="004169FF"/>
    <w:rsid w:val="00417C6A"/>
    <w:rsid w:val="0042077D"/>
    <w:rsid w:val="00420A7C"/>
    <w:rsid w:val="004222E7"/>
    <w:rsid w:val="00423E47"/>
    <w:rsid w:val="0042588E"/>
    <w:rsid w:val="0042733A"/>
    <w:rsid w:val="00430063"/>
    <w:rsid w:val="004327D4"/>
    <w:rsid w:val="004328F7"/>
    <w:rsid w:val="00434E0A"/>
    <w:rsid w:val="00434EC3"/>
    <w:rsid w:val="0043609B"/>
    <w:rsid w:val="004365A0"/>
    <w:rsid w:val="00437317"/>
    <w:rsid w:val="00441B19"/>
    <w:rsid w:val="004455D5"/>
    <w:rsid w:val="00446373"/>
    <w:rsid w:val="00447D49"/>
    <w:rsid w:val="00450A2B"/>
    <w:rsid w:val="0045161B"/>
    <w:rsid w:val="004525AC"/>
    <w:rsid w:val="00454AFA"/>
    <w:rsid w:val="00455690"/>
    <w:rsid w:val="0045589F"/>
    <w:rsid w:val="0046026B"/>
    <w:rsid w:val="004627C8"/>
    <w:rsid w:val="00462B4A"/>
    <w:rsid w:val="00463B9B"/>
    <w:rsid w:val="004645CC"/>
    <w:rsid w:val="00464C85"/>
    <w:rsid w:val="00464CB7"/>
    <w:rsid w:val="004663A5"/>
    <w:rsid w:val="00466AAD"/>
    <w:rsid w:val="00466BCB"/>
    <w:rsid w:val="00467783"/>
    <w:rsid w:val="00467ACF"/>
    <w:rsid w:val="00472198"/>
    <w:rsid w:val="004721BF"/>
    <w:rsid w:val="004728F6"/>
    <w:rsid w:val="00472DFF"/>
    <w:rsid w:val="0047407F"/>
    <w:rsid w:val="00474B8E"/>
    <w:rsid w:val="00483D2B"/>
    <w:rsid w:val="00487510"/>
    <w:rsid w:val="00493737"/>
    <w:rsid w:val="004939B5"/>
    <w:rsid w:val="004959F4"/>
    <w:rsid w:val="00496924"/>
    <w:rsid w:val="004969A8"/>
    <w:rsid w:val="00497C8F"/>
    <w:rsid w:val="004A003E"/>
    <w:rsid w:val="004A11B7"/>
    <w:rsid w:val="004A19AF"/>
    <w:rsid w:val="004A2820"/>
    <w:rsid w:val="004A2DB4"/>
    <w:rsid w:val="004A4B0C"/>
    <w:rsid w:val="004A4BFF"/>
    <w:rsid w:val="004A58E5"/>
    <w:rsid w:val="004B1D64"/>
    <w:rsid w:val="004B21A5"/>
    <w:rsid w:val="004B5B35"/>
    <w:rsid w:val="004B6CFE"/>
    <w:rsid w:val="004C0E6B"/>
    <w:rsid w:val="004C14DC"/>
    <w:rsid w:val="004C2F91"/>
    <w:rsid w:val="004C3259"/>
    <w:rsid w:val="004C5D6B"/>
    <w:rsid w:val="004C6ACE"/>
    <w:rsid w:val="004C6E27"/>
    <w:rsid w:val="004D2228"/>
    <w:rsid w:val="004D33E5"/>
    <w:rsid w:val="004D3B76"/>
    <w:rsid w:val="004D57DC"/>
    <w:rsid w:val="004D5CD2"/>
    <w:rsid w:val="004D6B59"/>
    <w:rsid w:val="004E10CB"/>
    <w:rsid w:val="004E418C"/>
    <w:rsid w:val="004E5258"/>
    <w:rsid w:val="004E53CD"/>
    <w:rsid w:val="004E5D39"/>
    <w:rsid w:val="004E6370"/>
    <w:rsid w:val="004E7ECB"/>
    <w:rsid w:val="004F0AA2"/>
    <w:rsid w:val="004F23B7"/>
    <w:rsid w:val="004F660E"/>
    <w:rsid w:val="004F7308"/>
    <w:rsid w:val="0050070C"/>
    <w:rsid w:val="00504A71"/>
    <w:rsid w:val="005053FA"/>
    <w:rsid w:val="0050653E"/>
    <w:rsid w:val="00506FE6"/>
    <w:rsid w:val="0050793D"/>
    <w:rsid w:val="00510186"/>
    <w:rsid w:val="00513E79"/>
    <w:rsid w:val="00514881"/>
    <w:rsid w:val="0051769B"/>
    <w:rsid w:val="00520328"/>
    <w:rsid w:val="00524B96"/>
    <w:rsid w:val="0052538D"/>
    <w:rsid w:val="00525CEE"/>
    <w:rsid w:val="0052679D"/>
    <w:rsid w:val="0053067B"/>
    <w:rsid w:val="00530CE0"/>
    <w:rsid w:val="00531C02"/>
    <w:rsid w:val="00532347"/>
    <w:rsid w:val="0053299B"/>
    <w:rsid w:val="005332C5"/>
    <w:rsid w:val="00535FFB"/>
    <w:rsid w:val="00536436"/>
    <w:rsid w:val="0054172E"/>
    <w:rsid w:val="00541832"/>
    <w:rsid w:val="00542A04"/>
    <w:rsid w:val="00542C38"/>
    <w:rsid w:val="005446CE"/>
    <w:rsid w:val="00545363"/>
    <w:rsid w:val="00547265"/>
    <w:rsid w:val="00550AEA"/>
    <w:rsid w:val="00551221"/>
    <w:rsid w:val="005544A3"/>
    <w:rsid w:val="0055611E"/>
    <w:rsid w:val="005563D6"/>
    <w:rsid w:val="005570EB"/>
    <w:rsid w:val="00557556"/>
    <w:rsid w:val="00557DFD"/>
    <w:rsid w:val="005614A8"/>
    <w:rsid w:val="00561BA7"/>
    <w:rsid w:val="005624A4"/>
    <w:rsid w:val="00562B81"/>
    <w:rsid w:val="005638C8"/>
    <w:rsid w:val="0056532F"/>
    <w:rsid w:val="00565D36"/>
    <w:rsid w:val="005661D0"/>
    <w:rsid w:val="00566BD6"/>
    <w:rsid w:val="00567229"/>
    <w:rsid w:val="00567AE1"/>
    <w:rsid w:val="00567E80"/>
    <w:rsid w:val="00570282"/>
    <w:rsid w:val="00570354"/>
    <w:rsid w:val="00570893"/>
    <w:rsid w:val="0057093B"/>
    <w:rsid w:val="0057130D"/>
    <w:rsid w:val="005726A2"/>
    <w:rsid w:val="00572CD6"/>
    <w:rsid w:val="00574FAC"/>
    <w:rsid w:val="00576800"/>
    <w:rsid w:val="00576FA0"/>
    <w:rsid w:val="0057796C"/>
    <w:rsid w:val="005800E8"/>
    <w:rsid w:val="00581511"/>
    <w:rsid w:val="0058264C"/>
    <w:rsid w:val="00582981"/>
    <w:rsid w:val="00583136"/>
    <w:rsid w:val="005857B1"/>
    <w:rsid w:val="005862F0"/>
    <w:rsid w:val="0059043D"/>
    <w:rsid w:val="00591854"/>
    <w:rsid w:val="00593E66"/>
    <w:rsid w:val="00595E16"/>
    <w:rsid w:val="00597C7B"/>
    <w:rsid w:val="005A1885"/>
    <w:rsid w:val="005A29E3"/>
    <w:rsid w:val="005A3F60"/>
    <w:rsid w:val="005A40AF"/>
    <w:rsid w:val="005A4439"/>
    <w:rsid w:val="005A4798"/>
    <w:rsid w:val="005A5C3A"/>
    <w:rsid w:val="005A6145"/>
    <w:rsid w:val="005B0B11"/>
    <w:rsid w:val="005B0B7A"/>
    <w:rsid w:val="005B0D28"/>
    <w:rsid w:val="005B1D69"/>
    <w:rsid w:val="005B2439"/>
    <w:rsid w:val="005B29DA"/>
    <w:rsid w:val="005B404C"/>
    <w:rsid w:val="005B52DA"/>
    <w:rsid w:val="005B5AEE"/>
    <w:rsid w:val="005B6F32"/>
    <w:rsid w:val="005B7309"/>
    <w:rsid w:val="005B75EC"/>
    <w:rsid w:val="005C0186"/>
    <w:rsid w:val="005C4B5D"/>
    <w:rsid w:val="005C509F"/>
    <w:rsid w:val="005C5DF4"/>
    <w:rsid w:val="005D09DC"/>
    <w:rsid w:val="005D0BF1"/>
    <w:rsid w:val="005D19D3"/>
    <w:rsid w:val="005D41E0"/>
    <w:rsid w:val="005D621C"/>
    <w:rsid w:val="005D7C8D"/>
    <w:rsid w:val="005E6CDB"/>
    <w:rsid w:val="005E7907"/>
    <w:rsid w:val="005F0FA6"/>
    <w:rsid w:val="005F1253"/>
    <w:rsid w:val="005F2D10"/>
    <w:rsid w:val="005F58A6"/>
    <w:rsid w:val="00600F93"/>
    <w:rsid w:val="00605D38"/>
    <w:rsid w:val="006062FA"/>
    <w:rsid w:val="00610158"/>
    <w:rsid w:val="00612B55"/>
    <w:rsid w:val="0061301C"/>
    <w:rsid w:val="006133A2"/>
    <w:rsid w:val="00614131"/>
    <w:rsid w:val="006141A9"/>
    <w:rsid w:val="00615545"/>
    <w:rsid w:val="0061677B"/>
    <w:rsid w:val="006212AB"/>
    <w:rsid w:val="00622298"/>
    <w:rsid w:val="0062320C"/>
    <w:rsid w:val="00623594"/>
    <w:rsid w:val="0062527B"/>
    <w:rsid w:val="006258AF"/>
    <w:rsid w:val="00626FF5"/>
    <w:rsid w:val="0062743E"/>
    <w:rsid w:val="00630DF6"/>
    <w:rsid w:val="0063166B"/>
    <w:rsid w:val="006320CA"/>
    <w:rsid w:val="00632731"/>
    <w:rsid w:val="006327C3"/>
    <w:rsid w:val="006333A6"/>
    <w:rsid w:val="00635331"/>
    <w:rsid w:val="00635833"/>
    <w:rsid w:val="00635DB5"/>
    <w:rsid w:val="0063764D"/>
    <w:rsid w:val="00637725"/>
    <w:rsid w:val="0063788C"/>
    <w:rsid w:val="00640549"/>
    <w:rsid w:val="006416AF"/>
    <w:rsid w:val="0064288D"/>
    <w:rsid w:val="0064359E"/>
    <w:rsid w:val="006437FF"/>
    <w:rsid w:val="00643B0E"/>
    <w:rsid w:val="00645264"/>
    <w:rsid w:val="0064539B"/>
    <w:rsid w:val="0064650C"/>
    <w:rsid w:val="00646BCD"/>
    <w:rsid w:val="00650D27"/>
    <w:rsid w:val="00652D07"/>
    <w:rsid w:val="00653A57"/>
    <w:rsid w:val="006620E4"/>
    <w:rsid w:val="006640F8"/>
    <w:rsid w:val="00664D1B"/>
    <w:rsid w:val="006651DE"/>
    <w:rsid w:val="00666D2D"/>
    <w:rsid w:val="00670272"/>
    <w:rsid w:val="0067251C"/>
    <w:rsid w:val="00672FF3"/>
    <w:rsid w:val="00673551"/>
    <w:rsid w:val="0067483E"/>
    <w:rsid w:val="00681451"/>
    <w:rsid w:val="00681629"/>
    <w:rsid w:val="00681A36"/>
    <w:rsid w:val="00683931"/>
    <w:rsid w:val="006840E6"/>
    <w:rsid w:val="00686923"/>
    <w:rsid w:val="00686E98"/>
    <w:rsid w:val="0069187A"/>
    <w:rsid w:val="006940A6"/>
    <w:rsid w:val="0069424E"/>
    <w:rsid w:val="0069428F"/>
    <w:rsid w:val="00694806"/>
    <w:rsid w:val="006A02DE"/>
    <w:rsid w:val="006A05E7"/>
    <w:rsid w:val="006A25DF"/>
    <w:rsid w:val="006A2DB8"/>
    <w:rsid w:val="006A3D9A"/>
    <w:rsid w:val="006A58BD"/>
    <w:rsid w:val="006A7765"/>
    <w:rsid w:val="006B062D"/>
    <w:rsid w:val="006B1706"/>
    <w:rsid w:val="006B4B54"/>
    <w:rsid w:val="006B6045"/>
    <w:rsid w:val="006B7988"/>
    <w:rsid w:val="006B7FE4"/>
    <w:rsid w:val="006C15B1"/>
    <w:rsid w:val="006C19FE"/>
    <w:rsid w:val="006C496A"/>
    <w:rsid w:val="006C6D34"/>
    <w:rsid w:val="006C6DE6"/>
    <w:rsid w:val="006D0084"/>
    <w:rsid w:val="006D09A3"/>
    <w:rsid w:val="006D1A26"/>
    <w:rsid w:val="006D2413"/>
    <w:rsid w:val="006D2D8E"/>
    <w:rsid w:val="006D3B1F"/>
    <w:rsid w:val="006D4943"/>
    <w:rsid w:val="006D5956"/>
    <w:rsid w:val="006D64C4"/>
    <w:rsid w:val="006D6FD5"/>
    <w:rsid w:val="006D7AAE"/>
    <w:rsid w:val="006D7D46"/>
    <w:rsid w:val="006E10DA"/>
    <w:rsid w:val="006E3439"/>
    <w:rsid w:val="006E4498"/>
    <w:rsid w:val="006E4D18"/>
    <w:rsid w:val="006E67D7"/>
    <w:rsid w:val="006E7D3E"/>
    <w:rsid w:val="006F0162"/>
    <w:rsid w:val="006F04FF"/>
    <w:rsid w:val="006F090B"/>
    <w:rsid w:val="006F185A"/>
    <w:rsid w:val="006F23AC"/>
    <w:rsid w:val="006F4422"/>
    <w:rsid w:val="006F46DF"/>
    <w:rsid w:val="006F4EF2"/>
    <w:rsid w:val="006F62A5"/>
    <w:rsid w:val="006F7191"/>
    <w:rsid w:val="007007F9"/>
    <w:rsid w:val="00700BC9"/>
    <w:rsid w:val="007022ED"/>
    <w:rsid w:val="00703301"/>
    <w:rsid w:val="0070348D"/>
    <w:rsid w:val="0070503C"/>
    <w:rsid w:val="007057A9"/>
    <w:rsid w:val="007067DB"/>
    <w:rsid w:val="00710357"/>
    <w:rsid w:val="00710A3D"/>
    <w:rsid w:val="007119DC"/>
    <w:rsid w:val="007128CD"/>
    <w:rsid w:val="00713F72"/>
    <w:rsid w:val="007157B8"/>
    <w:rsid w:val="00715A26"/>
    <w:rsid w:val="007175EC"/>
    <w:rsid w:val="00721D50"/>
    <w:rsid w:val="00722D72"/>
    <w:rsid w:val="00722F62"/>
    <w:rsid w:val="00726853"/>
    <w:rsid w:val="00726A7A"/>
    <w:rsid w:val="007278E4"/>
    <w:rsid w:val="00730202"/>
    <w:rsid w:val="007308D0"/>
    <w:rsid w:val="0073103B"/>
    <w:rsid w:val="00736E17"/>
    <w:rsid w:val="007371CF"/>
    <w:rsid w:val="00737733"/>
    <w:rsid w:val="0074208A"/>
    <w:rsid w:val="007424B0"/>
    <w:rsid w:val="007430DF"/>
    <w:rsid w:val="007435F4"/>
    <w:rsid w:val="00743F01"/>
    <w:rsid w:val="0074430B"/>
    <w:rsid w:val="00747339"/>
    <w:rsid w:val="00752519"/>
    <w:rsid w:val="007532C6"/>
    <w:rsid w:val="00753F91"/>
    <w:rsid w:val="007542E8"/>
    <w:rsid w:val="007568D4"/>
    <w:rsid w:val="007570DC"/>
    <w:rsid w:val="00757285"/>
    <w:rsid w:val="0076079C"/>
    <w:rsid w:val="00760A12"/>
    <w:rsid w:val="00760B0B"/>
    <w:rsid w:val="00760BC2"/>
    <w:rsid w:val="007611CD"/>
    <w:rsid w:val="00762B04"/>
    <w:rsid w:val="00763B7D"/>
    <w:rsid w:val="00764623"/>
    <w:rsid w:val="00764F04"/>
    <w:rsid w:val="007651C6"/>
    <w:rsid w:val="007661BC"/>
    <w:rsid w:val="00766A64"/>
    <w:rsid w:val="0076725C"/>
    <w:rsid w:val="007672BA"/>
    <w:rsid w:val="007679EA"/>
    <w:rsid w:val="00767F7B"/>
    <w:rsid w:val="00767F99"/>
    <w:rsid w:val="007706A1"/>
    <w:rsid w:val="00770E24"/>
    <w:rsid w:val="00771365"/>
    <w:rsid w:val="007713C1"/>
    <w:rsid w:val="0077173C"/>
    <w:rsid w:val="007718CE"/>
    <w:rsid w:val="007722D5"/>
    <w:rsid w:val="00774327"/>
    <w:rsid w:val="00783110"/>
    <w:rsid w:val="007872AD"/>
    <w:rsid w:val="00787A7B"/>
    <w:rsid w:val="007967F6"/>
    <w:rsid w:val="00797688"/>
    <w:rsid w:val="007A12D9"/>
    <w:rsid w:val="007A1D79"/>
    <w:rsid w:val="007A2EFB"/>
    <w:rsid w:val="007A31E3"/>
    <w:rsid w:val="007A3864"/>
    <w:rsid w:val="007A3D13"/>
    <w:rsid w:val="007A52E8"/>
    <w:rsid w:val="007A59E3"/>
    <w:rsid w:val="007A6131"/>
    <w:rsid w:val="007A6494"/>
    <w:rsid w:val="007A6959"/>
    <w:rsid w:val="007B2F2D"/>
    <w:rsid w:val="007B6722"/>
    <w:rsid w:val="007C1891"/>
    <w:rsid w:val="007C26D2"/>
    <w:rsid w:val="007C2DB2"/>
    <w:rsid w:val="007C419F"/>
    <w:rsid w:val="007C4703"/>
    <w:rsid w:val="007D0772"/>
    <w:rsid w:val="007D0880"/>
    <w:rsid w:val="007D15AC"/>
    <w:rsid w:val="007D19B5"/>
    <w:rsid w:val="007D200C"/>
    <w:rsid w:val="007D2BD3"/>
    <w:rsid w:val="007D3237"/>
    <w:rsid w:val="007D3F46"/>
    <w:rsid w:val="007D6884"/>
    <w:rsid w:val="007D72AA"/>
    <w:rsid w:val="007D736C"/>
    <w:rsid w:val="007E1F31"/>
    <w:rsid w:val="007E267F"/>
    <w:rsid w:val="007E61FF"/>
    <w:rsid w:val="007E6D06"/>
    <w:rsid w:val="007E71B7"/>
    <w:rsid w:val="007E74AF"/>
    <w:rsid w:val="007F02AD"/>
    <w:rsid w:val="007F0805"/>
    <w:rsid w:val="007F1F57"/>
    <w:rsid w:val="007F2F0A"/>
    <w:rsid w:val="007F4193"/>
    <w:rsid w:val="007F5391"/>
    <w:rsid w:val="007F5DBD"/>
    <w:rsid w:val="007F634C"/>
    <w:rsid w:val="007F710B"/>
    <w:rsid w:val="0080006F"/>
    <w:rsid w:val="00800280"/>
    <w:rsid w:val="008009BD"/>
    <w:rsid w:val="00803231"/>
    <w:rsid w:val="00805B27"/>
    <w:rsid w:val="008070CD"/>
    <w:rsid w:val="00807B73"/>
    <w:rsid w:val="00807FAD"/>
    <w:rsid w:val="008102F2"/>
    <w:rsid w:val="00812A91"/>
    <w:rsid w:val="00815963"/>
    <w:rsid w:val="00820990"/>
    <w:rsid w:val="00821B06"/>
    <w:rsid w:val="00821FB9"/>
    <w:rsid w:val="00822571"/>
    <w:rsid w:val="00825A0C"/>
    <w:rsid w:val="00826011"/>
    <w:rsid w:val="00826265"/>
    <w:rsid w:val="0082671F"/>
    <w:rsid w:val="00827510"/>
    <w:rsid w:val="008303C1"/>
    <w:rsid w:val="00830571"/>
    <w:rsid w:val="00832B19"/>
    <w:rsid w:val="008345B9"/>
    <w:rsid w:val="00834BB3"/>
    <w:rsid w:val="00835891"/>
    <w:rsid w:val="00836CD3"/>
    <w:rsid w:val="00836DF2"/>
    <w:rsid w:val="008378DE"/>
    <w:rsid w:val="008420FF"/>
    <w:rsid w:val="00843940"/>
    <w:rsid w:val="00846559"/>
    <w:rsid w:val="00850A76"/>
    <w:rsid w:val="00852135"/>
    <w:rsid w:val="0085396E"/>
    <w:rsid w:val="008541E8"/>
    <w:rsid w:val="008553E4"/>
    <w:rsid w:val="008560E9"/>
    <w:rsid w:val="00856F83"/>
    <w:rsid w:val="00863DBC"/>
    <w:rsid w:val="00865BAC"/>
    <w:rsid w:val="0087363B"/>
    <w:rsid w:val="008743FE"/>
    <w:rsid w:val="00874550"/>
    <w:rsid w:val="00875485"/>
    <w:rsid w:val="0087595F"/>
    <w:rsid w:val="00875D09"/>
    <w:rsid w:val="00877A90"/>
    <w:rsid w:val="00881ED8"/>
    <w:rsid w:val="00883825"/>
    <w:rsid w:val="0088472B"/>
    <w:rsid w:val="00884ED7"/>
    <w:rsid w:val="008861C2"/>
    <w:rsid w:val="00886D98"/>
    <w:rsid w:val="00887D67"/>
    <w:rsid w:val="00892241"/>
    <w:rsid w:val="00892951"/>
    <w:rsid w:val="00894929"/>
    <w:rsid w:val="00896860"/>
    <w:rsid w:val="00897C30"/>
    <w:rsid w:val="008A057C"/>
    <w:rsid w:val="008A1D4D"/>
    <w:rsid w:val="008A2A1F"/>
    <w:rsid w:val="008A637E"/>
    <w:rsid w:val="008A7E42"/>
    <w:rsid w:val="008B030A"/>
    <w:rsid w:val="008B38D8"/>
    <w:rsid w:val="008B6A10"/>
    <w:rsid w:val="008C14CF"/>
    <w:rsid w:val="008C1891"/>
    <w:rsid w:val="008C1AF2"/>
    <w:rsid w:val="008C29A2"/>
    <w:rsid w:val="008C3EF8"/>
    <w:rsid w:val="008C4708"/>
    <w:rsid w:val="008C56DB"/>
    <w:rsid w:val="008C5CAD"/>
    <w:rsid w:val="008D012D"/>
    <w:rsid w:val="008D0B82"/>
    <w:rsid w:val="008D194B"/>
    <w:rsid w:val="008D413D"/>
    <w:rsid w:val="008D5432"/>
    <w:rsid w:val="008D5677"/>
    <w:rsid w:val="008D6C61"/>
    <w:rsid w:val="008D7905"/>
    <w:rsid w:val="008E0C5C"/>
    <w:rsid w:val="008E4E38"/>
    <w:rsid w:val="008F1430"/>
    <w:rsid w:val="008F15A5"/>
    <w:rsid w:val="008F3438"/>
    <w:rsid w:val="008F3CB2"/>
    <w:rsid w:val="008F72DA"/>
    <w:rsid w:val="008F7319"/>
    <w:rsid w:val="00901F98"/>
    <w:rsid w:val="00903C93"/>
    <w:rsid w:val="009052BF"/>
    <w:rsid w:val="009056BD"/>
    <w:rsid w:val="00906AAE"/>
    <w:rsid w:val="009071CA"/>
    <w:rsid w:val="0090721B"/>
    <w:rsid w:val="009076CF"/>
    <w:rsid w:val="00910A1B"/>
    <w:rsid w:val="00911155"/>
    <w:rsid w:val="0091262A"/>
    <w:rsid w:val="00912B98"/>
    <w:rsid w:val="009133E9"/>
    <w:rsid w:val="009141B0"/>
    <w:rsid w:val="00914706"/>
    <w:rsid w:val="00915CBD"/>
    <w:rsid w:val="00916B5A"/>
    <w:rsid w:val="00916BC8"/>
    <w:rsid w:val="00916FA2"/>
    <w:rsid w:val="0091748E"/>
    <w:rsid w:val="00920DBA"/>
    <w:rsid w:val="00922478"/>
    <w:rsid w:val="00922A4C"/>
    <w:rsid w:val="00922BFF"/>
    <w:rsid w:val="00922EE8"/>
    <w:rsid w:val="009234BC"/>
    <w:rsid w:val="0092375C"/>
    <w:rsid w:val="009247CE"/>
    <w:rsid w:val="00925914"/>
    <w:rsid w:val="00925B41"/>
    <w:rsid w:val="009261A0"/>
    <w:rsid w:val="00927DCA"/>
    <w:rsid w:val="00930B23"/>
    <w:rsid w:val="0093104C"/>
    <w:rsid w:val="00933777"/>
    <w:rsid w:val="00933AA7"/>
    <w:rsid w:val="00933DAA"/>
    <w:rsid w:val="00935B89"/>
    <w:rsid w:val="00936859"/>
    <w:rsid w:val="00940AE6"/>
    <w:rsid w:val="0094128E"/>
    <w:rsid w:val="009418DC"/>
    <w:rsid w:val="00943738"/>
    <w:rsid w:val="00943B73"/>
    <w:rsid w:val="0095125D"/>
    <w:rsid w:val="00951388"/>
    <w:rsid w:val="009520F9"/>
    <w:rsid w:val="00953C5E"/>
    <w:rsid w:val="00955E40"/>
    <w:rsid w:val="00956640"/>
    <w:rsid w:val="0095779F"/>
    <w:rsid w:val="00960873"/>
    <w:rsid w:val="009614E8"/>
    <w:rsid w:val="0096150A"/>
    <w:rsid w:val="00964761"/>
    <w:rsid w:val="0097288C"/>
    <w:rsid w:val="00972E03"/>
    <w:rsid w:val="0097380A"/>
    <w:rsid w:val="00973857"/>
    <w:rsid w:val="009803DD"/>
    <w:rsid w:val="009807FE"/>
    <w:rsid w:val="009813A7"/>
    <w:rsid w:val="00981974"/>
    <w:rsid w:val="00982C42"/>
    <w:rsid w:val="00983774"/>
    <w:rsid w:val="00985D21"/>
    <w:rsid w:val="00987778"/>
    <w:rsid w:val="00987B7A"/>
    <w:rsid w:val="00992AB9"/>
    <w:rsid w:val="009932D3"/>
    <w:rsid w:val="00994E27"/>
    <w:rsid w:val="00996003"/>
    <w:rsid w:val="009A0C8C"/>
    <w:rsid w:val="009A1A54"/>
    <w:rsid w:val="009A1D0B"/>
    <w:rsid w:val="009A274C"/>
    <w:rsid w:val="009A58DB"/>
    <w:rsid w:val="009A78FF"/>
    <w:rsid w:val="009B0878"/>
    <w:rsid w:val="009B1A2D"/>
    <w:rsid w:val="009B283A"/>
    <w:rsid w:val="009B2AC4"/>
    <w:rsid w:val="009B4E4D"/>
    <w:rsid w:val="009B5B0C"/>
    <w:rsid w:val="009B68F5"/>
    <w:rsid w:val="009B74E3"/>
    <w:rsid w:val="009C0430"/>
    <w:rsid w:val="009C0B06"/>
    <w:rsid w:val="009C42B5"/>
    <w:rsid w:val="009C72DE"/>
    <w:rsid w:val="009C7318"/>
    <w:rsid w:val="009C7B23"/>
    <w:rsid w:val="009D00F9"/>
    <w:rsid w:val="009D0E29"/>
    <w:rsid w:val="009D1027"/>
    <w:rsid w:val="009D1953"/>
    <w:rsid w:val="009D1D50"/>
    <w:rsid w:val="009D2FBF"/>
    <w:rsid w:val="009D3D54"/>
    <w:rsid w:val="009D402A"/>
    <w:rsid w:val="009D456A"/>
    <w:rsid w:val="009D7FE7"/>
    <w:rsid w:val="009E04D7"/>
    <w:rsid w:val="009E3F2F"/>
    <w:rsid w:val="009E55B9"/>
    <w:rsid w:val="009E5B12"/>
    <w:rsid w:val="009E5EA0"/>
    <w:rsid w:val="009F05DA"/>
    <w:rsid w:val="009F189D"/>
    <w:rsid w:val="009F2CB3"/>
    <w:rsid w:val="009F2D4C"/>
    <w:rsid w:val="009F3EB3"/>
    <w:rsid w:val="009F5B74"/>
    <w:rsid w:val="00A01D07"/>
    <w:rsid w:val="00A030FC"/>
    <w:rsid w:val="00A0351F"/>
    <w:rsid w:val="00A03710"/>
    <w:rsid w:val="00A061CD"/>
    <w:rsid w:val="00A06E07"/>
    <w:rsid w:val="00A073C8"/>
    <w:rsid w:val="00A07681"/>
    <w:rsid w:val="00A10B20"/>
    <w:rsid w:val="00A113A8"/>
    <w:rsid w:val="00A11A19"/>
    <w:rsid w:val="00A12169"/>
    <w:rsid w:val="00A129AF"/>
    <w:rsid w:val="00A14B59"/>
    <w:rsid w:val="00A164C1"/>
    <w:rsid w:val="00A1724F"/>
    <w:rsid w:val="00A20128"/>
    <w:rsid w:val="00A2038A"/>
    <w:rsid w:val="00A22226"/>
    <w:rsid w:val="00A22E3E"/>
    <w:rsid w:val="00A22F75"/>
    <w:rsid w:val="00A235A7"/>
    <w:rsid w:val="00A26103"/>
    <w:rsid w:val="00A27FC5"/>
    <w:rsid w:val="00A301D2"/>
    <w:rsid w:val="00A3179E"/>
    <w:rsid w:val="00A33B90"/>
    <w:rsid w:val="00A3644C"/>
    <w:rsid w:val="00A36B0A"/>
    <w:rsid w:val="00A4216B"/>
    <w:rsid w:val="00A429FC"/>
    <w:rsid w:val="00A43676"/>
    <w:rsid w:val="00A443FD"/>
    <w:rsid w:val="00A44A0C"/>
    <w:rsid w:val="00A471BB"/>
    <w:rsid w:val="00A50B99"/>
    <w:rsid w:val="00A54AB8"/>
    <w:rsid w:val="00A60911"/>
    <w:rsid w:val="00A60BD2"/>
    <w:rsid w:val="00A640DE"/>
    <w:rsid w:val="00A65E90"/>
    <w:rsid w:val="00A674CB"/>
    <w:rsid w:val="00A675F7"/>
    <w:rsid w:val="00A70FC4"/>
    <w:rsid w:val="00A716CA"/>
    <w:rsid w:val="00A74348"/>
    <w:rsid w:val="00A75A73"/>
    <w:rsid w:val="00A7723B"/>
    <w:rsid w:val="00A774EB"/>
    <w:rsid w:val="00A8035D"/>
    <w:rsid w:val="00A84DED"/>
    <w:rsid w:val="00A84F13"/>
    <w:rsid w:val="00A85966"/>
    <w:rsid w:val="00A8610F"/>
    <w:rsid w:val="00A8649E"/>
    <w:rsid w:val="00A8656C"/>
    <w:rsid w:val="00A94B2B"/>
    <w:rsid w:val="00A95500"/>
    <w:rsid w:val="00A96E55"/>
    <w:rsid w:val="00AA090D"/>
    <w:rsid w:val="00AA185F"/>
    <w:rsid w:val="00AA1D2F"/>
    <w:rsid w:val="00AA3918"/>
    <w:rsid w:val="00AA63EB"/>
    <w:rsid w:val="00AA6503"/>
    <w:rsid w:val="00AB1C22"/>
    <w:rsid w:val="00AB421A"/>
    <w:rsid w:val="00AB46F1"/>
    <w:rsid w:val="00AB4DAB"/>
    <w:rsid w:val="00AB52AE"/>
    <w:rsid w:val="00AB5D35"/>
    <w:rsid w:val="00AB692D"/>
    <w:rsid w:val="00AC2688"/>
    <w:rsid w:val="00AC3EE7"/>
    <w:rsid w:val="00AC4BDB"/>
    <w:rsid w:val="00AC53E6"/>
    <w:rsid w:val="00AC608A"/>
    <w:rsid w:val="00AC7ED2"/>
    <w:rsid w:val="00AD1338"/>
    <w:rsid w:val="00AD2A10"/>
    <w:rsid w:val="00AD32B6"/>
    <w:rsid w:val="00AE152E"/>
    <w:rsid w:val="00AE1C54"/>
    <w:rsid w:val="00AE32E0"/>
    <w:rsid w:val="00AE3E91"/>
    <w:rsid w:val="00AE567B"/>
    <w:rsid w:val="00AE6316"/>
    <w:rsid w:val="00AE63CB"/>
    <w:rsid w:val="00AE6DEE"/>
    <w:rsid w:val="00AE756A"/>
    <w:rsid w:val="00AE7723"/>
    <w:rsid w:val="00AF1517"/>
    <w:rsid w:val="00AF3F0E"/>
    <w:rsid w:val="00AF470D"/>
    <w:rsid w:val="00AF4A0E"/>
    <w:rsid w:val="00AF4CA6"/>
    <w:rsid w:val="00AF5CC7"/>
    <w:rsid w:val="00AF62A5"/>
    <w:rsid w:val="00AF62B4"/>
    <w:rsid w:val="00AF78BC"/>
    <w:rsid w:val="00B00C4F"/>
    <w:rsid w:val="00B01D30"/>
    <w:rsid w:val="00B03406"/>
    <w:rsid w:val="00B0536E"/>
    <w:rsid w:val="00B06458"/>
    <w:rsid w:val="00B112A7"/>
    <w:rsid w:val="00B120E2"/>
    <w:rsid w:val="00B1228C"/>
    <w:rsid w:val="00B1332F"/>
    <w:rsid w:val="00B14904"/>
    <w:rsid w:val="00B14BFF"/>
    <w:rsid w:val="00B15628"/>
    <w:rsid w:val="00B15CB1"/>
    <w:rsid w:val="00B16888"/>
    <w:rsid w:val="00B174FC"/>
    <w:rsid w:val="00B20914"/>
    <w:rsid w:val="00B21C09"/>
    <w:rsid w:val="00B21F43"/>
    <w:rsid w:val="00B2238B"/>
    <w:rsid w:val="00B22AC3"/>
    <w:rsid w:val="00B23C65"/>
    <w:rsid w:val="00B24B3C"/>
    <w:rsid w:val="00B24C31"/>
    <w:rsid w:val="00B25FA2"/>
    <w:rsid w:val="00B2671D"/>
    <w:rsid w:val="00B27CD4"/>
    <w:rsid w:val="00B3040C"/>
    <w:rsid w:val="00B31585"/>
    <w:rsid w:val="00B3192D"/>
    <w:rsid w:val="00B31F65"/>
    <w:rsid w:val="00B321D9"/>
    <w:rsid w:val="00B36108"/>
    <w:rsid w:val="00B4473B"/>
    <w:rsid w:val="00B47FD5"/>
    <w:rsid w:val="00B47FEB"/>
    <w:rsid w:val="00B50ADD"/>
    <w:rsid w:val="00B5313B"/>
    <w:rsid w:val="00B54B3F"/>
    <w:rsid w:val="00B5693D"/>
    <w:rsid w:val="00B60DD8"/>
    <w:rsid w:val="00B60DFA"/>
    <w:rsid w:val="00B620E7"/>
    <w:rsid w:val="00B621C3"/>
    <w:rsid w:val="00B627D0"/>
    <w:rsid w:val="00B627EC"/>
    <w:rsid w:val="00B6461F"/>
    <w:rsid w:val="00B64A38"/>
    <w:rsid w:val="00B67B8B"/>
    <w:rsid w:val="00B70A95"/>
    <w:rsid w:val="00B70EE7"/>
    <w:rsid w:val="00B713B3"/>
    <w:rsid w:val="00B71A31"/>
    <w:rsid w:val="00B7240D"/>
    <w:rsid w:val="00B72559"/>
    <w:rsid w:val="00B7311E"/>
    <w:rsid w:val="00B74A0A"/>
    <w:rsid w:val="00B763B7"/>
    <w:rsid w:val="00B768DA"/>
    <w:rsid w:val="00B77478"/>
    <w:rsid w:val="00B80FCA"/>
    <w:rsid w:val="00B810A0"/>
    <w:rsid w:val="00B81848"/>
    <w:rsid w:val="00B81FA8"/>
    <w:rsid w:val="00B83112"/>
    <w:rsid w:val="00B83DBC"/>
    <w:rsid w:val="00B856D3"/>
    <w:rsid w:val="00B8580C"/>
    <w:rsid w:val="00B85DDC"/>
    <w:rsid w:val="00B85F32"/>
    <w:rsid w:val="00B872A5"/>
    <w:rsid w:val="00B8771A"/>
    <w:rsid w:val="00B87EC3"/>
    <w:rsid w:val="00B901B9"/>
    <w:rsid w:val="00B93A8A"/>
    <w:rsid w:val="00B93BB9"/>
    <w:rsid w:val="00B93F9D"/>
    <w:rsid w:val="00B94892"/>
    <w:rsid w:val="00B94E26"/>
    <w:rsid w:val="00B9581C"/>
    <w:rsid w:val="00B95CC3"/>
    <w:rsid w:val="00B95D05"/>
    <w:rsid w:val="00B974BF"/>
    <w:rsid w:val="00B97951"/>
    <w:rsid w:val="00BA0A9F"/>
    <w:rsid w:val="00BA0DDF"/>
    <w:rsid w:val="00BA2E00"/>
    <w:rsid w:val="00BA4F42"/>
    <w:rsid w:val="00BA5705"/>
    <w:rsid w:val="00BA7009"/>
    <w:rsid w:val="00BB0D36"/>
    <w:rsid w:val="00BB1E73"/>
    <w:rsid w:val="00BB2C0A"/>
    <w:rsid w:val="00BB3FEF"/>
    <w:rsid w:val="00BB4090"/>
    <w:rsid w:val="00BB4BE7"/>
    <w:rsid w:val="00BB4D20"/>
    <w:rsid w:val="00BB5669"/>
    <w:rsid w:val="00BB6745"/>
    <w:rsid w:val="00BB6CD6"/>
    <w:rsid w:val="00BC0277"/>
    <w:rsid w:val="00BC0517"/>
    <w:rsid w:val="00BC319A"/>
    <w:rsid w:val="00BC4922"/>
    <w:rsid w:val="00BC4B41"/>
    <w:rsid w:val="00BC5595"/>
    <w:rsid w:val="00BD0CC6"/>
    <w:rsid w:val="00BD2A96"/>
    <w:rsid w:val="00BD49D7"/>
    <w:rsid w:val="00BD4A8F"/>
    <w:rsid w:val="00BE0A0D"/>
    <w:rsid w:val="00BE2E9A"/>
    <w:rsid w:val="00BE36BF"/>
    <w:rsid w:val="00BE3E67"/>
    <w:rsid w:val="00BE4682"/>
    <w:rsid w:val="00BE67AD"/>
    <w:rsid w:val="00BE6B89"/>
    <w:rsid w:val="00BE6FB6"/>
    <w:rsid w:val="00BF14B1"/>
    <w:rsid w:val="00BF208E"/>
    <w:rsid w:val="00BF2C64"/>
    <w:rsid w:val="00BF42AB"/>
    <w:rsid w:val="00BF4ED9"/>
    <w:rsid w:val="00BF50B1"/>
    <w:rsid w:val="00BF5B02"/>
    <w:rsid w:val="00BF71EB"/>
    <w:rsid w:val="00BF7486"/>
    <w:rsid w:val="00C0192E"/>
    <w:rsid w:val="00C01D5D"/>
    <w:rsid w:val="00C02451"/>
    <w:rsid w:val="00C0346F"/>
    <w:rsid w:val="00C05308"/>
    <w:rsid w:val="00C05492"/>
    <w:rsid w:val="00C06388"/>
    <w:rsid w:val="00C066B1"/>
    <w:rsid w:val="00C06DCC"/>
    <w:rsid w:val="00C10C33"/>
    <w:rsid w:val="00C12E50"/>
    <w:rsid w:val="00C13650"/>
    <w:rsid w:val="00C1550C"/>
    <w:rsid w:val="00C17396"/>
    <w:rsid w:val="00C2027C"/>
    <w:rsid w:val="00C25900"/>
    <w:rsid w:val="00C306F7"/>
    <w:rsid w:val="00C338A6"/>
    <w:rsid w:val="00C3495E"/>
    <w:rsid w:val="00C34F18"/>
    <w:rsid w:val="00C35627"/>
    <w:rsid w:val="00C3778B"/>
    <w:rsid w:val="00C40406"/>
    <w:rsid w:val="00C40F01"/>
    <w:rsid w:val="00C41316"/>
    <w:rsid w:val="00C424DD"/>
    <w:rsid w:val="00C43362"/>
    <w:rsid w:val="00C44296"/>
    <w:rsid w:val="00C453E2"/>
    <w:rsid w:val="00C4548F"/>
    <w:rsid w:val="00C46F75"/>
    <w:rsid w:val="00C518B9"/>
    <w:rsid w:val="00C532E2"/>
    <w:rsid w:val="00C54372"/>
    <w:rsid w:val="00C54B12"/>
    <w:rsid w:val="00C57CC3"/>
    <w:rsid w:val="00C608ED"/>
    <w:rsid w:val="00C60A5D"/>
    <w:rsid w:val="00C60EF3"/>
    <w:rsid w:val="00C63A2C"/>
    <w:rsid w:val="00C6489D"/>
    <w:rsid w:val="00C64ECC"/>
    <w:rsid w:val="00C65059"/>
    <w:rsid w:val="00C65DAC"/>
    <w:rsid w:val="00C71BCF"/>
    <w:rsid w:val="00C7270B"/>
    <w:rsid w:val="00C77469"/>
    <w:rsid w:val="00C7758A"/>
    <w:rsid w:val="00C77A9F"/>
    <w:rsid w:val="00C803E2"/>
    <w:rsid w:val="00C8067E"/>
    <w:rsid w:val="00C824D1"/>
    <w:rsid w:val="00C83120"/>
    <w:rsid w:val="00C85D0D"/>
    <w:rsid w:val="00C871C6"/>
    <w:rsid w:val="00C915A2"/>
    <w:rsid w:val="00C93310"/>
    <w:rsid w:val="00C93E01"/>
    <w:rsid w:val="00C951A3"/>
    <w:rsid w:val="00C96AE6"/>
    <w:rsid w:val="00C96F95"/>
    <w:rsid w:val="00CA1CBB"/>
    <w:rsid w:val="00CA3C07"/>
    <w:rsid w:val="00CA4496"/>
    <w:rsid w:val="00CA5C94"/>
    <w:rsid w:val="00CA6925"/>
    <w:rsid w:val="00CA7555"/>
    <w:rsid w:val="00CB08E2"/>
    <w:rsid w:val="00CB133D"/>
    <w:rsid w:val="00CB14EE"/>
    <w:rsid w:val="00CB37B8"/>
    <w:rsid w:val="00CB4728"/>
    <w:rsid w:val="00CB6263"/>
    <w:rsid w:val="00CB66DE"/>
    <w:rsid w:val="00CB7580"/>
    <w:rsid w:val="00CC0AE5"/>
    <w:rsid w:val="00CC1EE6"/>
    <w:rsid w:val="00CC2BE2"/>
    <w:rsid w:val="00CC3680"/>
    <w:rsid w:val="00CC4A51"/>
    <w:rsid w:val="00CC6677"/>
    <w:rsid w:val="00CC6E22"/>
    <w:rsid w:val="00CD1494"/>
    <w:rsid w:val="00CD2F8D"/>
    <w:rsid w:val="00CD3DD7"/>
    <w:rsid w:val="00CD534E"/>
    <w:rsid w:val="00CD6233"/>
    <w:rsid w:val="00CD77B2"/>
    <w:rsid w:val="00CD7ABC"/>
    <w:rsid w:val="00CD7EB3"/>
    <w:rsid w:val="00CE0401"/>
    <w:rsid w:val="00CE09F7"/>
    <w:rsid w:val="00CE1AA4"/>
    <w:rsid w:val="00CE2C5B"/>
    <w:rsid w:val="00CE307E"/>
    <w:rsid w:val="00CE50AF"/>
    <w:rsid w:val="00CE56B9"/>
    <w:rsid w:val="00CE5CEE"/>
    <w:rsid w:val="00CF28C3"/>
    <w:rsid w:val="00CF2FF4"/>
    <w:rsid w:val="00CF5748"/>
    <w:rsid w:val="00CF5890"/>
    <w:rsid w:val="00D00049"/>
    <w:rsid w:val="00D00F5E"/>
    <w:rsid w:val="00D0121E"/>
    <w:rsid w:val="00D026DE"/>
    <w:rsid w:val="00D035C4"/>
    <w:rsid w:val="00D04C0C"/>
    <w:rsid w:val="00D05B8F"/>
    <w:rsid w:val="00D06335"/>
    <w:rsid w:val="00D06F49"/>
    <w:rsid w:val="00D10160"/>
    <w:rsid w:val="00D1286C"/>
    <w:rsid w:val="00D12F75"/>
    <w:rsid w:val="00D1303C"/>
    <w:rsid w:val="00D13CC9"/>
    <w:rsid w:val="00D15B48"/>
    <w:rsid w:val="00D208AA"/>
    <w:rsid w:val="00D20DB8"/>
    <w:rsid w:val="00D2100D"/>
    <w:rsid w:val="00D21CA3"/>
    <w:rsid w:val="00D23417"/>
    <w:rsid w:val="00D24CE2"/>
    <w:rsid w:val="00D24E27"/>
    <w:rsid w:val="00D25169"/>
    <w:rsid w:val="00D26100"/>
    <w:rsid w:val="00D30AC1"/>
    <w:rsid w:val="00D315AB"/>
    <w:rsid w:val="00D33110"/>
    <w:rsid w:val="00D36E77"/>
    <w:rsid w:val="00D36E90"/>
    <w:rsid w:val="00D44943"/>
    <w:rsid w:val="00D450CD"/>
    <w:rsid w:val="00D4545D"/>
    <w:rsid w:val="00D467D3"/>
    <w:rsid w:val="00D46C36"/>
    <w:rsid w:val="00D54AD3"/>
    <w:rsid w:val="00D54D15"/>
    <w:rsid w:val="00D54F8E"/>
    <w:rsid w:val="00D55EAB"/>
    <w:rsid w:val="00D5601D"/>
    <w:rsid w:val="00D57BFF"/>
    <w:rsid w:val="00D605AC"/>
    <w:rsid w:val="00D60830"/>
    <w:rsid w:val="00D61AB6"/>
    <w:rsid w:val="00D634A2"/>
    <w:rsid w:val="00D6446E"/>
    <w:rsid w:val="00D646DA"/>
    <w:rsid w:val="00D657E8"/>
    <w:rsid w:val="00D67E90"/>
    <w:rsid w:val="00D72F8B"/>
    <w:rsid w:val="00D73770"/>
    <w:rsid w:val="00D74989"/>
    <w:rsid w:val="00D750D9"/>
    <w:rsid w:val="00D7665C"/>
    <w:rsid w:val="00D77860"/>
    <w:rsid w:val="00D805A4"/>
    <w:rsid w:val="00D80DCA"/>
    <w:rsid w:val="00D82228"/>
    <w:rsid w:val="00D827FC"/>
    <w:rsid w:val="00D82F94"/>
    <w:rsid w:val="00D86D52"/>
    <w:rsid w:val="00D90BB8"/>
    <w:rsid w:val="00D91A0F"/>
    <w:rsid w:val="00DA0E1C"/>
    <w:rsid w:val="00DA3A70"/>
    <w:rsid w:val="00DA6732"/>
    <w:rsid w:val="00DA754F"/>
    <w:rsid w:val="00DA7CD8"/>
    <w:rsid w:val="00DB166F"/>
    <w:rsid w:val="00DB1AD8"/>
    <w:rsid w:val="00DB4CFA"/>
    <w:rsid w:val="00DB5E33"/>
    <w:rsid w:val="00DC1136"/>
    <w:rsid w:val="00DC2272"/>
    <w:rsid w:val="00DC2346"/>
    <w:rsid w:val="00DC2D10"/>
    <w:rsid w:val="00DC523E"/>
    <w:rsid w:val="00DC7735"/>
    <w:rsid w:val="00DD0493"/>
    <w:rsid w:val="00DD0DF1"/>
    <w:rsid w:val="00DD1364"/>
    <w:rsid w:val="00DD2517"/>
    <w:rsid w:val="00DD2BE4"/>
    <w:rsid w:val="00DD3143"/>
    <w:rsid w:val="00DD3D3A"/>
    <w:rsid w:val="00DD7A6C"/>
    <w:rsid w:val="00DE34BC"/>
    <w:rsid w:val="00DE48A3"/>
    <w:rsid w:val="00DE62D1"/>
    <w:rsid w:val="00DE7D1A"/>
    <w:rsid w:val="00DF18D4"/>
    <w:rsid w:val="00DF571F"/>
    <w:rsid w:val="00DF7260"/>
    <w:rsid w:val="00DF777F"/>
    <w:rsid w:val="00E049CD"/>
    <w:rsid w:val="00E05816"/>
    <w:rsid w:val="00E0672E"/>
    <w:rsid w:val="00E07936"/>
    <w:rsid w:val="00E1129E"/>
    <w:rsid w:val="00E11BF6"/>
    <w:rsid w:val="00E11C8D"/>
    <w:rsid w:val="00E12C05"/>
    <w:rsid w:val="00E13297"/>
    <w:rsid w:val="00E13EA4"/>
    <w:rsid w:val="00E1430B"/>
    <w:rsid w:val="00E146CD"/>
    <w:rsid w:val="00E14D2E"/>
    <w:rsid w:val="00E16802"/>
    <w:rsid w:val="00E177BB"/>
    <w:rsid w:val="00E21F61"/>
    <w:rsid w:val="00E272B3"/>
    <w:rsid w:val="00E32718"/>
    <w:rsid w:val="00E32A3A"/>
    <w:rsid w:val="00E33002"/>
    <w:rsid w:val="00E35FCB"/>
    <w:rsid w:val="00E36704"/>
    <w:rsid w:val="00E377C9"/>
    <w:rsid w:val="00E378B5"/>
    <w:rsid w:val="00E379E0"/>
    <w:rsid w:val="00E428FB"/>
    <w:rsid w:val="00E435B6"/>
    <w:rsid w:val="00E439C4"/>
    <w:rsid w:val="00E46B53"/>
    <w:rsid w:val="00E50B69"/>
    <w:rsid w:val="00E56CB8"/>
    <w:rsid w:val="00E56E43"/>
    <w:rsid w:val="00E60E93"/>
    <w:rsid w:val="00E704E1"/>
    <w:rsid w:val="00E75277"/>
    <w:rsid w:val="00E7530C"/>
    <w:rsid w:val="00E77867"/>
    <w:rsid w:val="00E8049B"/>
    <w:rsid w:val="00E820A3"/>
    <w:rsid w:val="00E8449D"/>
    <w:rsid w:val="00E87583"/>
    <w:rsid w:val="00E87866"/>
    <w:rsid w:val="00E87897"/>
    <w:rsid w:val="00E91A81"/>
    <w:rsid w:val="00E93557"/>
    <w:rsid w:val="00E9656D"/>
    <w:rsid w:val="00E965EF"/>
    <w:rsid w:val="00E976CF"/>
    <w:rsid w:val="00EA11C9"/>
    <w:rsid w:val="00EA17A4"/>
    <w:rsid w:val="00EA1852"/>
    <w:rsid w:val="00EA2CBC"/>
    <w:rsid w:val="00EA32E9"/>
    <w:rsid w:val="00EA3F19"/>
    <w:rsid w:val="00EA4369"/>
    <w:rsid w:val="00EA7B51"/>
    <w:rsid w:val="00EB051D"/>
    <w:rsid w:val="00EB2318"/>
    <w:rsid w:val="00EB3057"/>
    <w:rsid w:val="00EB536E"/>
    <w:rsid w:val="00EC1201"/>
    <w:rsid w:val="00EC3FCB"/>
    <w:rsid w:val="00EC5792"/>
    <w:rsid w:val="00EC63CE"/>
    <w:rsid w:val="00ED1930"/>
    <w:rsid w:val="00ED21AB"/>
    <w:rsid w:val="00ED39DF"/>
    <w:rsid w:val="00ED52D4"/>
    <w:rsid w:val="00ED7757"/>
    <w:rsid w:val="00EE474B"/>
    <w:rsid w:val="00EE5933"/>
    <w:rsid w:val="00EE69D9"/>
    <w:rsid w:val="00EE6CD8"/>
    <w:rsid w:val="00EE6F8A"/>
    <w:rsid w:val="00EF031D"/>
    <w:rsid w:val="00EF17B5"/>
    <w:rsid w:val="00EF1832"/>
    <w:rsid w:val="00EF1B93"/>
    <w:rsid w:val="00EF20B1"/>
    <w:rsid w:val="00EF25FE"/>
    <w:rsid w:val="00EF263A"/>
    <w:rsid w:val="00EF348A"/>
    <w:rsid w:val="00EF35F9"/>
    <w:rsid w:val="00EF4EB1"/>
    <w:rsid w:val="00EF5D5B"/>
    <w:rsid w:val="00EF707D"/>
    <w:rsid w:val="00EF7124"/>
    <w:rsid w:val="00EF7828"/>
    <w:rsid w:val="00F01A37"/>
    <w:rsid w:val="00F0300A"/>
    <w:rsid w:val="00F03B98"/>
    <w:rsid w:val="00F04B23"/>
    <w:rsid w:val="00F059A2"/>
    <w:rsid w:val="00F0605B"/>
    <w:rsid w:val="00F11D79"/>
    <w:rsid w:val="00F12C12"/>
    <w:rsid w:val="00F13003"/>
    <w:rsid w:val="00F136F6"/>
    <w:rsid w:val="00F15B1F"/>
    <w:rsid w:val="00F15E52"/>
    <w:rsid w:val="00F15F8F"/>
    <w:rsid w:val="00F16BD9"/>
    <w:rsid w:val="00F17087"/>
    <w:rsid w:val="00F17A89"/>
    <w:rsid w:val="00F17D0B"/>
    <w:rsid w:val="00F21DA5"/>
    <w:rsid w:val="00F228BC"/>
    <w:rsid w:val="00F2339F"/>
    <w:rsid w:val="00F25196"/>
    <w:rsid w:val="00F2555C"/>
    <w:rsid w:val="00F26975"/>
    <w:rsid w:val="00F31128"/>
    <w:rsid w:val="00F318B1"/>
    <w:rsid w:val="00F34187"/>
    <w:rsid w:val="00F349D2"/>
    <w:rsid w:val="00F366E3"/>
    <w:rsid w:val="00F3746C"/>
    <w:rsid w:val="00F375F7"/>
    <w:rsid w:val="00F40BD2"/>
    <w:rsid w:val="00F4154D"/>
    <w:rsid w:val="00F419B3"/>
    <w:rsid w:val="00F45152"/>
    <w:rsid w:val="00F45E27"/>
    <w:rsid w:val="00F46BC9"/>
    <w:rsid w:val="00F47B51"/>
    <w:rsid w:val="00F47F64"/>
    <w:rsid w:val="00F51861"/>
    <w:rsid w:val="00F5188B"/>
    <w:rsid w:val="00F52101"/>
    <w:rsid w:val="00F525B5"/>
    <w:rsid w:val="00F5477E"/>
    <w:rsid w:val="00F54DC6"/>
    <w:rsid w:val="00F61E38"/>
    <w:rsid w:val="00F63260"/>
    <w:rsid w:val="00F6346D"/>
    <w:rsid w:val="00F64F79"/>
    <w:rsid w:val="00F6555A"/>
    <w:rsid w:val="00F66314"/>
    <w:rsid w:val="00F71D42"/>
    <w:rsid w:val="00F723D0"/>
    <w:rsid w:val="00F72E96"/>
    <w:rsid w:val="00F73C27"/>
    <w:rsid w:val="00F74CEC"/>
    <w:rsid w:val="00F759D6"/>
    <w:rsid w:val="00F7626C"/>
    <w:rsid w:val="00F8068F"/>
    <w:rsid w:val="00F808D3"/>
    <w:rsid w:val="00F80983"/>
    <w:rsid w:val="00F80E2E"/>
    <w:rsid w:val="00F814C3"/>
    <w:rsid w:val="00F8261E"/>
    <w:rsid w:val="00F86BA8"/>
    <w:rsid w:val="00F87885"/>
    <w:rsid w:val="00F93459"/>
    <w:rsid w:val="00F9524D"/>
    <w:rsid w:val="00F97F0A"/>
    <w:rsid w:val="00FA128D"/>
    <w:rsid w:val="00FA17BB"/>
    <w:rsid w:val="00FA1F03"/>
    <w:rsid w:val="00FA46B6"/>
    <w:rsid w:val="00FA5441"/>
    <w:rsid w:val="00FB7031"/>
    <w:rsid w:val="00FB75D9"/>
    <w:rsid w:val="00FC0697"/>
    <w:rsid w:val="00FC1274"/>
    <w:rsid w:val="00FC1547"/>
    <w:rsid w:val="00FC4295"/>
    <w:rsid w:val="00FC7D09"/>
    <w:rsid w:val="00FD0D87"/>
    <w:rsid w:val="00FD12C8"/>
    <w:rsid w:val="00FD1A26"/>
    <w:rsid w:val="00FD1D5B"/>
    <w:rsid w:val="00FD3DF2"/>
    <w:rsid w:val="00FD4DFA"/>
    <w:rsid w:val="00FD4FFB"/>
    <w:rsid w:val="00FD58B8"/>
    <w:rsid w:val="00FD6317"/>
    <w:rsid w:val="00FD78FC"/>
    <w:rsid w:val="00FE13AD"/>
    <w:rsid w:val="00FE17AC"/>
    <w:rsid w:val="00FE232A"/>
    <w:rsid w:val="00FE5021"/>
    <w:rsid w:val="00FF0B7C"/>
    <w:rsid w:val="00FF0B9A"/>
    <w:rsid w:val="00FF1F89"/>
    <w:rsid w:val="00FF2123"/>
    <w:rsid w:val="00FF466A"/>
    <w:rsid w:val="00FF78BE"/>
    <w:rsid w:val="00FF7F7D"/>
    <w:rsid w:val="028C037D"/>
    <w:rsid w:val="05AB2D3F"/>
    <w:rsid w:val="09334C7E"/>
    <w:rsid w:val="0F08759B"/>
    <w:rsid w:val="13EA7CD7"/>
    <w:rsid w:val="723A2FA7"/>
    <w:rsid w:val="79ED38D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14:docId w14:val="4CB60B67"/>
  <w15:docId w15:val="{163CD5D2-7909-4B4C-AB37-5CF29320C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bg-BG" w:eastAsia="bg-B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semiHidden="1" w:uiPriority="0"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4CFA"/>
    <w:rPr>
      <w:rFonts w:asciiTheme="minorHAnsi" w:eastAsiaTheme="minorHAnsi" w:hAnsiTheme="minorHAnsi" w:cstheme="minorBidi"/>
      <w:sz w:val="22"/>
      <w:szCs w:val="22"/>
      <w:lang w:eastAsia="en-US"/>
    </w:rPr>
  </w:style>
  <w:style w:type="paragraph" w:styleId="1">
    <w:name w:val="heading 1"/>
    <w:basedOn w:val="a0"/>
    <w:next w:val="a"/>
    <w:link w:val="10"/>
    <w:uiPriority w:val="9"/>
    <w:qFormat/>
    <w:rsid w:val="00DB4CFA"/>
    <w:pPr>
      <w:spacing w:before="120" w:after="120" w:line="240" w:lineRule="auto"/>
      <w:ind w:left="0"/>
      <w:contextualSpacing w:val="0"/>
      <w:jc w:val="both"/>
      <w:outlineLvl w:val="0"/>
    </w:pPr>
    <w:rPr>
      <w:rFonts w:ascii="Times New Roman" w:hAnsi="Times New Roman" w:cs="Times New Roman"/>
      <w:b/>
      <w:color w:val="0070C0"/>
      <w:sz w:val="26"/>
      <w:szCs w:val="26"/>
    </w:rPr>
  </w:style>
  <w:style w:type="paragraph" w:styleId="2">
    <w:name w:val="heading 2"/>
    <w:basedOn w:val="a0"/>
    <w:next w:val="a"/>
    <w:link w:val="20"/>
    <w:qFormat/>
    <w:rsid w:val="00DB4CFA"/>
    <w:pPr>
      <w:spacing w:before="120" w:after="120" w:line="240" w:lineRule="auto"/>
      <w:ind w:left="0"/>
      <w:contextualSpacing w:val="0"/>
      <w:jc w:val="both"/>
      <w:outlineLvl w:val="1"/>
    </w:pPr>
    <w:rPr>
      <w:rFonts w:ascii="Times New Roman" w:hAnsi="Times New Roman" w:cs="Times New Roman"/>
      <w:b/>
      <w:color w:val="0070C0"/>
      <w:sz w:val="24"/>
      <w:szCs w:val="24"/>
    </w:rPr>
  </w:style>
  <w:style w:type="paragraph" w:styleId="3">
    <w:name w:val="heading 3"/>
    <w:basedOn w:val="a"/>
    <w:next w:val="a"/>
    <w:link w:val="30"/>
    <w:uiPriority w:val="9"/>
    <w:semiHidden/>
    <w:unhideWhenUsed/>
    <w:qFormat/>
    <w:rsid w:val="00DB4CFA"/>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
    <w:next w:val="a"/>
    <w:link w:val="60"/>
    <w:uiPriority w:val="9"/>
    <w:semiHidden/>
    <w:unhideWhenUsed/>
    <w:qFormat/>
    <w:rsid w:val="00DB4CF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link w:val="a4"/>
    <w:qFormat/>
    <w:rsid w:val="00DB4CFA"/>
    <w:pPr>
      <w:ind w:left="720"/>
      <w:contextualSpacing/>
    </w:pPr>
  </w:style>
  <w:style w:type="paragraph" w:styleId="a5">
    <w:name w:val="Balloon Text"/>
    <w:basedOn w:val="a"/>
    <w:link w:val="a6"/>
    <w:uiPriority w:val="99"/>
    <w:semiHidden/>
    <w:unhideWhenUsed/>
    <w:qFormat/>
    <w:rsid w:val="00DB4CFA"/>
    <w:pPr>
      <w:spacing w:after="0" w:line="240" w:lineRule="auto"/>
    </w:pPr>
    <w:rPr>
      <w:rFonts w:ascii="Segoe UI" w:hAnsi="Segoe UI" w:cs="Segoe UI"/>
      <w:sz w:val="18"/>
      <w:szCs w:val="18"/>
    </w:rPr>
  </w:style>
  <w:style w:type="paragraph" w:styleId="a7">
    <w:name w:val="Body Text"/>
    <w:basedOn w:val="a"/>
    <w:link w:val="a8"/>
    <w:uiPriority w:val="99"/>
    <w:semiHidden/>
    <w:unhideWhenUsed/>
    <w:qFormat/>
    <w:rsid w:val="00DB4CFA"/>
    <w:pPr>
      <w:spacing w:after="120"/>
    </w:pPr>
  </w:style>
  <w:style w:type="paragraph" w:styleId="31">
    <w:name w:val="Body Text 3"/>
    <w:basedOn w:val="a"/>
    <w:link w:val="32"/>
    <w:uiPriority w:val="99"/>
    <w:unhideWhenUsed/>
    <w:qFormat/>
    <w:rsid w:val="00DB4CFA"/>
    <w:pPr>
      <w:spacing w:after="120"/>
    </w:pPr>
    <w:rPr>
      <w:sz w:val="16"/>
      <w:szCs w:val="16"/>
    </w:rPr>
  </w:style>
  <w:style w:type="paragraph" w:styleId="a9">
    <w:name w:val="annotation text"/>
    <w:basedOn w:val="a"/>
    <w:link w:val="aa"/>
    <w:uiPriority w:val="99"/>
    <w:unhideWhenUsed/>
    <w:qFormat/>
    <w:rsid w:val="00DB4CFA"/>
    <w:pPr>
      <w:spacing w:line="240" w:lineRule="auto"/>
    </w:pPr>
    <w:rPr>
      <w:sz w:val="20"/>
      <w:szCs w:val="20"/>
    </w:rPr>
  </w:style>
  <w:style w:type="paragraph" w:styleId="ab">
    <w:name w:val="annotation subject"/>
    <w:basedOn w:val="a9"/>
    <w:next w:val="a9"/>
    <w:link w:val="ac"/>
    <w:uiPriority w:val="99"/>
    <w:semiHidden/>
    <w:unhideWhenUsed/>
    <w:qFormat/>
    <w:rsid w:val="00DB4CFA"/>
    <w:rPr>
      <w:b/>
      <w:bCs/>
    </w:rPr>
  </w:style>
  <w:style w:type="paragraph" w:styleId="ad">
    <w:name w:val="endnote text"/>
    <w:basedOn w:val="a"/>
    <w:link w:val="ae"/>
    <w:qFormat/>
    <w:rsid w:val="00DB4CFA"/>
    <w:pPr>
      <w:spacing w:after="0" w:line="240" w:lineRule="auto"/>
    </w:pPr>
    <w:rPr>
      <w:rFonts w:ascii="Times New Roman" w:eastAsia="Times New Roman" w:hAnsi="Times New Roman" w:cs="Times New Roman"/>
      <w:sz w:val="20"/>
      <w:szCs w:val="20"/>
      <w:lang w:eastAsia="bg-BG"/>
    </w:rPr>
  </w:style>
  <w:style w:type="paragraph" w:styleId="af">
    <w:name w:val="footer"/>
    <w:basedOn w:val="a"/>
    <w:link w:val="af0"/>
    <w:uiPriority w:val="99"/>
    <w:unhideWhenUsed/>
    <w:qFormat/>
    <w:rsid w:val="00DB4CFA"/>
    <w:pPr>
      <w:tabs>
        <w:tab w:val="center" w:pos="4536"/>
        <w:tab w:val="right" w:pos="9072"/>
      </w:tabs>
      <w:spacing w:after="0" w:line="240" w:lineRule="auto"/>
    </w:pPr>
  </w:style>
  <w:style w:type="paragraph" w:styleId="af1">
    <w:name w:val="footnote text"/>
    <w:basedOn w:val="a"/>
    <w:link w:val="af2"/>
    <w:unhideWhenUsed/>
    <w:qFormat/>
    <w:rsid w:val="00DB4CFA"/>
    <w:pPr>
      <w:spacing w:after="0" w:line="240" w:lineRule="auto"/>
    </w:pPr>
    <w:rPr>
      <w:sz w:val="20"/>
      <w:szCs w:val="20"/>
    </w:rPr>
  </w:style>
  <w:style w:type="paragraph" w:styleId="af3">
    <w:name w:val="header"/>
    <w:basedOn w:val="a"/>
    <w:link w:val="af4"/>
    <w:uiPriority w:val="99"/>
    <w:unhideWhenUsed/>
    <w:qFormat/>
    <w:rsid w:val="00DB4CFA"/>
    <w:pPr>
      <w:tabs>
        <w:tab w:val="center" w:pos="4536"/>
        <w:tab w:val="right" w:pos="9072"/>
      </w:tabs>
      <w:spacing w:after="0" w:line="240" w:lineRule="auto"/>
    </w:pPr>
  </w:style>
  <w:style w:type="paragraph" w:styleId="af5">
    <w:name w:val="List Bullet"/>
    <w:basedOn w:val="a"/>
    <w:qFormat/>
    <w:rsid w:val="00DB4CFA"/>
    <w:pPr>
      <w:tabs>
        <w:tab w:val="left" w:pos="360"/>
      </w:tabs>
      <w:spacing w:before="120" w:after="120" w:line="240" w:lineRule="auto"/>
      <w:jc w:val="both"/>
    </w:pPr>
    <w:rPr>
      <w:rFonts w:ascii="Times New Roman" w:eastAsia="Times New Roman" w:hAnsi="Times New Roman" w:cs="Times New Roman"/>
      <w:b/>
      <w:sz w:val="24"/>
      <w:szCs w:val="20"/>
      <w:lang w:eastAsia="en-GB"/>
    </w:rPr>
  </w:style>
  <w:style w:type="paragraph" w:styleId="af6">
    <w:name w:val="Normal (Web)"/>
    <w:basedOn w:val="a"/>
    <w:qFormat/>
    <w:rsid w:val="00DB4CF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7">
    <w:name w:val="Title"/>
    <w:basedOn w:val="a"/>
    <w:next w:val="a"/>
    <w:link w:val="af8"/>
    <w:qFormat/>
    <w:rsid w:val="00DB4CFA"/>
    <w:pPr>
      <w:spacing w:after="480" w:line="240" w:lineRule="auto"/>
      <w:jc w:val="center"/>
    </w:pPr>
    <w:rPr>
      <w:rFonts w:ascii="Times New Roman" w:eastAsia="Times New Roman" w:hAnsi="Times New Roman" w:cs="Times New Roman"/>
      <w:b/>
      <w:snapToGrid w:val="0"/>
      <w:sz w:val="48"/>
      <w:szCs w:val="20"/>
      <w:lang w:val="en-GB"/>
    </w:rPr>
  </w:style>
  <w:style w:type="paragraph" w:styleId="11">
    <w:name w:val="toc 1"/>
    <w:basedOn w:val="a"/>
    <w:next w:val="a"/>
    <w:uiPriority w:val="39"/>
    <w:unhideWhenUsed/>
    <w:qFormat/>
    <w:rsid w:val="00DB4CFA"/>
    <w:pPr>
      <w:spacing w:before="120" w:after="0"/>
    </w:pPr>
    <w:rPr>
      <w:b/>
      <w:bCs/>
      <w:sz w:val="24"/>
      <w:szCs w:val="24"/>
    </w:rPr>
  </w:style>
  <w:style w:type="paragraph" w:styleId="21">
    <w:name w:val="toc 2"/>
    <w:basedOn w:val="a"/>
    <w:next w:val="a"/>
    <w:uiPriority w:val="39"/>
    <w:unhideWhenUsed/>
    <w:qFormat/>
    <w:rsid w:val="00DB4CFA"/>
    <w:pPr>
      <w:spacing w:after="0"/>
      <w:ind w:left="220"/>
    </w:pPr>
    <w:rPr>
      <w:b/>
      <w:bCs/>
    </w:rPr>
  </w:style>
  <w:style w:type="paragraph" w:styleId="33">
    <w:name w:val="toc 3"/>
    <w:basedOn w:val="a"/>
    <w:next w:val="a"/>
    <w:uiPriority w:val="39"/>
    <w:unhideWhenUsed/>
    <w:qFormat/>
    <w:rsid w:val="00DB4CFA"/>
    <w:pPr>
      <w:spacing w:after="0"/>
      <w:ind w:left="440"/>
    </w:pPr>
  </w:style>
  <w:style w:type="paragraph" w:styleId="4">
    <w:name w:val="toc 4"/>
    <w:basedOn w:val="a"/>
    <w:next w:val="a"/>
    <w:uiPriority w:val="39"/>
    <w:unhideWhenUsed/>
    <w:qFormat/>
    <w:rsid w:val="00DB4CFA"/>
    <w:pPr>
      <w:spacing w:after="0"/>
      <w:ind w:left="660"/>
    </w:pPr>
    <w:rPr>
      <w:sz w:val="20"/>
      <w:szCs w:val="20"/>
    </w:rPr>
  </w:style>
  <w:style w:type="paragraph" w:styleId="5">
    <w:name w:val="toc 5"/>
    <w:basedOn w:val="a"/>
    <w:next w:val="a"/>
    <w:uiPriority w:val="39"/>
    <w:unhideWhenUsed/>
    <w:qFormat/>
    <w:rsid w:val="00DB4CFA"/>
    <w:pPr>
      <w:spacing w:after="0"/>
      <w:ind w:left="880"/>
    </w:pPr>
    <w:rPr>
      <w:sz w:val="20"/>
      <w:szCs w:val="20"/>
    </w:rPr>
  </w:style>
  <w:style w:type="paragraph" w:styleId="61">
    <w:name w:val="toc 6"/>
    <w:basedOn w:val="a"/>
    <w:next w:val="a"/>
    <w:semiHidden/>
    <w:qFormat/>
    <w:rsid w:val="00DB4CFA"/>
    <w:pPr>
      <w:spacing w:after="0"/>
      <w:ind w:left="1100"/>
    </w:pPr>
    <w:rPr>
      <w:sz w:val="20"/>
      <w:szCs w:val="20"/>
    </w:rPr>
  </w:style>
  <w:style w:type="paragraph" w:styleId="7">
    <w:name w:val="toc 7"/>
    <w:basedOn w:val="a"/>
    <w:next w:val="a"/>
    <w:uiPriority w:val="39"/>
    <w:unhideWhenUsed/>
    <w:qFormat/>
    <w:rsid w:val="00DB4CFA"/>
    <w:pPr>
      <w:spacing w:after="0"/>
      <w:ind w:left="1320"/>
    </w:pPr>
    <w:rPr>
      <w:sz w:val="20"/>
      <w:szCs w:val="20"/>
    </w:rPr>
  </w:style>
  <w:style w:type="paragraph" w:styleId="8">
    <w:name w:val="toc 8"/>
    <w:basedOn w:val="a"/>
    <w:next w:val="a"/>
    <w:uiPriority w:val="39"/>
    <w:unhideWhenUsed/>
    <w:qFormat/>
    <w:rsid w:val="00DB4CFA"/>
    <w:pPr>
      <w:spacing w:after="0"/>
      <w:ind w:left="1540"/>
    </w:pPr>
    <w:rPr>
      <w:sz w:val="20"/>
      <w:szCs w:val="20"/>
    </w:rPr>
  </w:style>
  <w:style w:type="paragraph" w:styleId="9">
    <w:name w:val="toc 9"/>
    <w:basedOn w:val="a"/>
    <w:next w:val="a"/>
    <w:uiPriority w:val="39"/>
    <w:unhideWhenUsed/>
    <w:qFormat/>
    <w:rsid w:val="00DB4CFA"/>
    <w:pPr>
      <w:spacing w:after="0"/>
      <w:ind w:left="1760"/>
    </w:pPr>
    <w:rPr>
      <w:sz w:val="20"/>
      <w:szCs w:val="20"/>
    </w:rPr>
  </w:style>
  <w:style w:type="character" w:styleId="af9">
    <w:name w:val="annotation reference"/>
    <w:basedOn w:val="a1"/>
    <w:uiPriority w:val="99"/>
    <w:semiHidden/>
    <w:unhideWhenUsed/>
    <w:qFormat/>
    <w:rsid w:val="00DB4CFA"/>
    <w:rPr>
      <w:sz w:val="16"/>
      <w:szCs w:val="16"/>
    </w:rPr>
  </w:style>
  <w:style w:type="character" w:styleId="afa">
    <w:name w:val="FollowedHyperlink"/>
    <w:basedOn w:val="a1"/>
    <w:uiPriority w:val="99"/>
    <w:semiHidden/>
    <w:unhideWhenUsed/>
    <w:qFormat/>
    <w:rsid w:val="00DB4CFA"/>
    <w:rPr>
      <w:color w:val="954F72" w:themeColor="followedHyperlink"/>
      <w:u w:val="single"/>
    </w:rPr>
  </w:style>
  <w:style w:type="character" w:styleId="afb">
    <w:name w:val="footnote reference"/>
    <w:basedOn w:val="a1"/>
    <w:unhideWhenUsed/>
    <w:qFormat/>
    <w:rsid w:val="00DB4CFA"/>
    <w:rPr>
      <w:vertAlign w:val="superscript"/>
    </w:rPr>
  </w:style>
  <w:style w:type="character" w:styleId="afc">
    <w:name w:val="Hyperlink"/>
    <w:basedOn w:val="a1"/>
    <w:uiPriority w:val="99"/>
    <w:unhideWhenUsed/>
    <w:rsid w:val="00DB4CFA"/>
    <w:rPr>
      <w:color w:val="0563C1" w:themeColor="hyperlink"/>
      <w:u w:val="single"/>
    </w:rPr>
  </w:style>
  <w:style w:type="character" w:styleId="afd">
    <w:name w:val="Strong"/>
    <w:qFormat/>
    <w:rsid w:val="00DB4CFA"/>
    <w:rPr>
      <w:b/>
      <w:bCs/>
    </w:rPr>
  </w:style>
  <w:style w:type="table" w:styleId="afe">
    <w:name w:val="Table Grid"/>
    <w:basedOn w:val="a2"/>
    <w:qFormat/>
    <w:rsid w:val="00DB4CFA"/>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под линия Знак"/>
    <w:basedOn w:val="a1"/>
    <w:link w:val="af1"/>
    <w:qFormat/>
    <w:rsid w:val="00DB4CFA"/>
    <w:rPr>
      <w:sz w:val="20"/>
      <w:szCs w:val="20"/>
    </w:rPr>
  </w:style>
  <w:style w:type="character" w:customStyle="1" w:styleId="a6">
    <w:name w:val="Изнесен текст Знак"/>
    <w:basedOn w:val="a1"/>
    <w:link w:val="a5"/>
    <w:uiPriority w:val="99"/>
    <w:semiHidden/>
    <w:qFormat/>
    <w:rsid w:val="00DB4CFA"/>
    <w:rPr>
      <w:rFonts w:ascii="Segoe UI" w:hAnsi="Segoe UI" w:cs="Segoe UI"/>
      <w:sz w:val="18"/>
      <w:szCs w:val="18"/>
    </w:rPr>
  </w:style>
  <w:style w:type="character" w:customStyle="1" w:styleId="af4">
    <w:name w:val="Горен колонтитул Знак"/>
    <w:basedOn w:val="a1"/>
    <w:link w:val="af3"/>
    <w:uiPriority w:val="99"/>
    <w:rsid w:val="00DB4CFA"/>
  </w:style>
  <w:style w:type="character" w:customStyle="1" w:styleId="af0">
    <w:name w:val="Долен колонтитул Знак"/>
    <w:basedOn w:val="a1"/>
    <w:link w:val="af"/>
    <w:uiPriority w:val="99"/>
    <w:qFormat/>
    <w:rsid w:val="00DB4CFA"/>
  </w:style>
  <w:style w:type="character" w:customStyle="1" w:styleId="aa">
    <w:name w:val="Текст на коментар Знак"/>
    <w:basedOn w:val="a1"/>
    <w:link w:val="a9"/>
    <w:uiPriority w:val="99"/>
    <w:qFormat/>
    <w:rsid w:val="00DB4CFA"/>
    <w:rPr>
      <w:sz w:val="20"/>
      <w:szCs w:val="20"/>
    </w:rPr>
  </w:style>
  <w:style w:type="character" w:customStyle="1" w:styleId="ac">
    <w:name w:val="Предмет на коментар Знак"/>
    <w:basedOn w:val="aa"/>
    <w:link w:val="ab"/>
    <w:uiPriority w:val="99"/>
    <w:semiHidden/>
    <w:rsid w:val="00DB4CFA"/>
    <w:rPr>
      <w:b/>
      <w:bCs/>
      <w:sz w:val="20"/>
      <w:szCs w:val="20"/>
    </w:rPr>
  </w:style>
  <w:style w:type="paragraph" w:customStyle="1" w:styleId="TableContents">
    <w:name w:val="Table Contents"/>
    <w:basedOn w:val="a7"/>
    <w:qFormat/>
    <w:rsid w:val="00DB4CFA"/>
    <w:pPr>
      <w:widowControl w:val="0"/>
      <w:suppressLineNumbers/>
      <w:suppressAutoHyphens/>
      <w:spacing w:before="100" w:beforeAutospacing="1" w:after="100" w:afterAutospacing="1" w:line="240" w:lineRule="auto"/>
    </w:pPr>
    <w:rPr>
      <w:rFonts w:ascii="Times New Roman" w:eastAsia="HG Mincho Light J" w:hAnsi="Times New Roman" w:cs="Times New Roman"/>
      <w:color w:val="000000"/>
      <w:sz w:val="24"/>
      <w:szCs w:val="24"/>
      <w:lang w:val="en-US" w:eastAsia="bg-BG"/>
    </w:rPr>
  </w:style>
  <w:style w:type="paragraph" w:customStyle="1" w:styleId="Index">
    <w:name w:val="Index"/>
    <w:basedOn w:val="a"/>
    <w:qFormat/>
    <w:rsid w:val="00DB4CFA"/>
    <w:pPr>
      <w:widowControl w:val="0"/>
      <w:suppressLineNumbers/>
      <w:suppressAutoHyphens/>
      <w:spacing w:after="0" w:line="240" w:lineRule="auto"/>
    </w:pPr>
    <w:rPr>
      <w:rFonts w:ascii="Times New Roman" w:eastAsia="HG Mincho Light J" w:hAnsi="Times New Roman" w:cs="Times New Roman"/>
      <w:color w:val="000000"/>
      <w:sz w:val="24"/>
      <w:szCs w:val="20"/>
      <w:lang w:val="en-US" w:eastAsia="bg-BG"/>
    </w:rPr>
  </w:style>
  <w:style w:type="paragraph" w:customStyle="1" w:styleId="tableheading">
    <w:name w:val="tableheading"/>
    <w:basedOn w:val="a"/>
    <w:rsid w:val="00DB4CF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ablecontents0">
    <w:name w:val="tablecontents"/>
    <w:basedOn w:val="a"/>
    <w:qFormat/>
    <w:rsid w:val="00DB4CFA"/>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a8">
    <w:name w:val="Основен текст Знак"/>
    <w:basedOn w:val="a1"/>
    <w:link w:val="a7"/>
    <w:uiPriority w:val="99"/>
    <w:semiHidden/>
    <w:qFormat/>
    <w:rsid w:val="00DB4CFA"/>
  </w:style>
  <w:style w:type="character" w:customStyle="1" w:styleId="af8">
    <w:name w:val="Заглавие Знак"/>
    <w:basedOn w:val="a1"/>
    <w:link w:val="af7"/>
    <w:qFormat/>
    <w:rsid w:val="00DB4CFA"/>
    <w:rPr>
      <w:rFonts w:ascii="Times New Roman" w:eastAsia="Times New Roman" w:hAnsi="Times New Roman" w:cs="Times New Roman"/>
      <w:b/>
      <w:snapToGrid w:val="0"/>
      <w:sz w:val="48"/>
      <w:szCs w:val="20"/>
      <w:lang w:val="en-GB"/>
    </w:rPr>
  </w:style>
  <w:style w:type="character" w:customStyle="1" w:styleId="20">
    <w:name w:val="Заглавие 2 Знак"/>
    <w:basedOn w:val="a1"/>
    <w:link w:val="2"/>
    <w:rsid w:val="00DB4CFA"/>
    <w:rPr>
      <w:rFonts w:ascii="Times New Roman" w:hAnsi="Times New Roman" w:cs="Times New Roman"/>
      <w:b/>
      <w:color w:val="0070C0"/>
      <w:sz w:val="24"/>
      <w:szCs w:val="24"/>
    </w:rPr>
  </w:style>
  <w:style w:type="paragraph" w:customStyle="1" w:styleId="Guidelines1">
    <w:name w:val="Guidelines 1"/>
    <w:basedOn w:val="11"/>
    <w:rsid w:val="00DB4CFA"/>
    <w:pPr>
      <w:pageBreakBefore/>
      <w:tabs>
        <w:tab w:val="left" w:pos="180"/>
        <w:tab w:val="right" w:leader="dot" w:pos="9900"/>
      </w:tabs>
      <w:spacing w:after="480" w:line="240" w:lineRule="auto"/>
      <w:ind w:left="488" w:right="381" w:hanging="488"/>
      <w:jc w:val="both"/>
    </w:pPr>
    <w:rPr>
      <w:rFonts w:ascii="Times New Roman" w:eastAsia="Times New Roman" w:hAnsi="Times New Roman" w:cs="Times New Roman"/>
      <w:b w:val="0"/>
      <w:caps/>
      <w:snapToGrid w:val="0"/>
      <w:lang w:val="en-GB"/>
    </w:rPr>
  </w:style>
  <w:style w:type="paragraph" w:customStyle="1" w:styleId="CM1">
    <w:name w:val="CM1"/>
    <w:basedOn w:val="a"/>
    <w:next w:val="a"/>
    <w:rsid w:val="00DB4CFA"/>
    <w:pPr>
      <w:autoSpaceDE w:val="0"/>
      <w:autoSpaceDN w:val="0"/>
      <w:adjustRightInd w:val="0"/>
      <w:spacing w:after="0" w:line="240" w:lineRule="auto"/>
    </w:pPr>
    <w:rPr>
      <w:rFonts w:ascii="EUAlbertina" w:eastAsia="Times New Roman" w:hAnsi="EUAlbertina" w:cs="Times New Roman"/>
      <w:sz w:val="24"/>
      <w:szCs w:val="24"/>
      <w:lang w:eastAsia="bg-BG"/>
    </w:rPr>
  </w:style>
  <w:style w:type="paragraph" w:customStyle="1" w:styleId="CM4">
    <w:name w:val="CM4"/>
    <w:basedOn w:val="a"/>
    <w:next w:val="a"/>
    <w:rsid w:val="00DB4CFA"/>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10">
    <w:name w:val="Заглавие 1 Знак"/>
    <w:basedOn w:val="a1"/>
    <w:link w:val="1"/>
    <w:uiPriority w:val="9"/>
    <w:qFormat/>
    <w:rsid w:val="00DB4CFA"/>
    <w:rPr>
      <w:rFonts w:ascii="Times New Roman" w:hAnsi="Times New Roman" w:cs="Times New Roman"/>
      <w:b/>
      <w:color w:val="0070C0"/>
      <w:sz w:val="26"/>
      <w:szCs w:val="26"/>
    </w:rPr>
  </w:style>
  <w:style w:type="paragraph" w:customStyle="1" w:styleId="TOCHeading1">
    <w:name w:val="TOC Heading1"/>
    <w:basedOn w:val="1"/>
    <w:next w:val="a"/>
    <w:uiPriority w:val="39"/>
    <w:unhideWhenUsed/>
    <w:qFormat/>
    <w:rsid w:val="00DB4CFA"/>
    <w:pPr>
      <w:spacing w:line="276" w:lineRule="auto"/>
      <w:outlineLvl w:val="9"/>
    </w:pPr>
    <w:rPr>
      <w:lang w:eastAsia="bg-BG"/>
    </w:rPr>
  </w:style>
  <w:style w:type="paragraph" w:customStyle="1" w:styleId="Text1">
    <w:name w:val="Text 1"/>
    <w:basedOn w:val="a"/>
    <w:qFormat/>
    <w:rsid w:val="00DB4CFA"/>
    <w:pPr>
      <w:spacing w:after="240" w:line="240" w:lineRule="auto"/>
      <w:ind w:left="482"/>
      <w:jc w:val="both"/>
    </w:pPr>
    <w:rPr>
      <w:rFonts w:ascii="Times New Roman" w:eastAsia="Times New Roman" w:hAnsi="Times New Roman" w:cs="Times New Roman"/>
      <w:snapToGrid w:val="0"/>
      <w:sz w:val="24"/>
      <w:szCs w:val="20"/>
      <w:lang w:val="en-GB"/>
    </w:rPr>
  </w:style>
  <w:style w:type="paragraph" w:customStyle="1" w:styleId="Default">
    <w:name w:val="Default"/>
    <w:qFormat/>
    <w:rsid w:val="00DB4CF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60">
    <w:name w:val="Заглавие 6 Знак"/>
    <w:basedOn w:val="a1"/>
    <w:link w:val="6"/>
    <w:uiPriority w:val="9"/>
    <w:semiHidden/>
    <w:qFormat/>
    <w:rsid w:val="00DB4CFA"/>
    <w:rPr>
      <w:rFonts w:asciiTheme="majorHAnsi" w:eastAsiaTheme="majorEastAsia" w:hAnsiTheme="majorHAnsi" w:cstheme="majorBidi"/>
      <w:i/>
      <w:iCs/>
      <w:color w:val="1F4D78" w:themeColor="accent1" w:themeShade="7F"/>
    </w:rPr>
  </w:style>
  <w:style w:type="character" w:customStyle="1" w:styleId="32">
    <w:name w:val="Основен текст 3 Знак"/>
    <w:basedOn w:val="a1"/>
    <w:link w:val="31"/>
    <w:uiPriority w:val="99"/>
    <w:qFormat/>
    <w:rsid w:val="00DB4CFA"/>
    <w:rPr>
      <w:sz w:val="16"/>
      <w:szCs w:val="16"/>
    </w:rPr>
  </w:style>
  <w:style w:type="paragraph" w:customStyle="1" w:styleId="GfAheading1">
    <w:name w:val="GfA heading 1"/>
    <w:basedOn w:val="a"/>
    <w:qFormat/>
    <w:rsid w:val="00DB4CFA"/>
    <w:pPr>
      <w:numPr>
        <w:numId w:val="1"/>
      </w:numPr>
      <w:spacing w:after="0" w:line="240" w:lineRule="auto"/>
    </w:pPr>
    <w:rPr>
      <w:rFonts w:ascii="Times New Roman" w:eastAsia="Times New Roman" w:hAnsi="Times New Roman" w:cs="Times New Roman"/>
      <w:b/>
      <w:snapToGrid w:val="0"/>
      <w:sz w:val="24"/>
      <w:szCs w:val="24"/>
    </w:rPr>
  </w:style>
  <w:style w:type="paragraph" w:customStyle="1" w:styleId="Guidelines2">
    <w:name w:val="Guidelines 2"/>
    <w:basedOn w:val="a"/>
    <w:rsid w:val="00DB4CFA"/>
    <w:pPr>
      <w:spacing w:before="240" w:after="240" w:line="240" w:lineRule="auto"/>
      <w:jc w:val="both"/>
    </w:pPr>
    <w:rPr>
      <w:rFonts w:ascii="Times New Roman" w:eastAsia="Times New Roman" w:hAnsi="Times New Roman" w:cs="Times New Roman"/>
      <w:b/>
      <w:smallCaps/>
      <w:snapToGrid w:val="0"/>
      <w:sz w:val="24"/>
      <w:szCs w:val="20"/>
      <w:lang w:val="en-GB"/>
    </w:rPr>
  </w:style>
  <w:style w:type="paragraph" w:customStyle="1" w:styleId="firstline">
    <w:name w:val="firstline"/>
    <w:basedOn w:val="a"/>
    <w:qFormat/>
    <w:rsid w:val="00DB4CFA"/>
    <w:pPr>
      <w:spacing w:after="0" w:line="240" w:lineRule="atLeast"/>
      <w:ind w:firstLine="640"/>
      <w:jc w:val="both"/>
    </w:pPr>
    <w:rPr>
      <w:rFonts w:ascii="Times New Roman" w:eastAsia="Times New Roman" w:hAnsi="Times New Roman" w:cs="Times New Roman"/>
      <w:color w:val="000000"/>
      <w:sz w:val="24"/>
      <w:szCs w:val="24"/>
      <w:lang w:eastAsia="bg-BG"/>
    </w:rPr>
  </w:style>
  <w:style w:type="character" w:customStyle="1" w:styleId="ldef">
    <w:name w:val="ldef"/>
    <w:basedOn w:val="a1"/>
    <w:qFormat/>
    <w:rsid w:val="00DB4CFA"/>
  </w:style>
  <w:style w:type="paragraph" w:customStyle="1" w:styleId="BodyText21">
    <w:name w:val="Body Text 21"/>
    <w:basedOn w:val="a"/>
    <w:qFormat/>
    <w:rsid w:val="00DB4CFA"/>
    <w:pPr>
      <w:spacing w:after="0" w:line="240" w:lineRule="auto"/>
    </w:pPr>
    <w:rPr>
      <w:rFonts w:ascii="Times New Roman" w:eastAsia="Times New Roman" w:hAnsi="Times New Roman" w:cs="Times New Roman"/>
      <w:snapToGrid w:val="0"/>
      <w:szCs w:val="20"/>
      <w:lang w:eastAsia="bg-BG"/>
    </w:rPr>
  </w:style>
  <w:style w:type="paragraph" w:customStyle="1" w:styleId="Clause">
    <w:name w:val="Clause"/>
    <w:basedOn w:val="a"/>
    <w:qFormat/>
    <w:rsid w:val="00DB4CFA"/>
    <w:pPr>
      <w:numPr>
        <w:numId w:val="2"/>
      </w:numPr>
      <w:spacing w:after="120" w:line="240" w:lineRule="auto"/>
      <w:jc w:val="both"/>
    </w:pPr>
    <w:rPr>
      <w:rFonts w:ascii="Times New Roman" w:eastAsia="Times New Roman" w:hAnsi="Times New Roman" w:cs="Times New Roman"/>
      <w:snapToGrid w:val="0"/>
      <w:sz w:val="24"/>
      <w:szCs w:val="24"/>
    </w:rPr>
  </w:style>
  <w:style w:type="character" w:customStyle="1" w:styleId="30">
    <w:name w:val="Заглавие 3 Знак"/>
    <w:basedOn w:val="a1"/>
    <w:link w:val="3"/>
    <w:uiPriority w:val="9"/>
    <w:semiHidden/>
    <w:qFormat/>
    <w:rsid w:val="00DB4CFA"/>
    <w:rPr>
      <w:rFonts w:asciiTheme="majorHAnsi" w:eastAsiaTheme="majorEastAsia" w:hAnsiTheme="majorHAnsi" w:cstheme="majorBidi"/>
      <w:b/>
      <w:bCs/>
      <w:color w:val="5B9BD5" w:themeColor="accent1"/>
    </w:rPr>
  </w:style>
  <w:style w:type="paragraph" w:customStyle="1" w:styleId="Revision1">
    <w:name w:val="Revision1"/>
    <w:hidden/>
    <w:uiPriority w:val="99"/>
    <w:semiHidden/>
    <w:rsid w:val="00DB4CFA"/>
    <w:pPr>
      <w:spacing w:after="0" w:line="240" w:lineRule="auto"/>
    </w:pPr>
    <w:rPr>
      <w:rFonts w:asciiTheme="minorHAnsi" w:eastAsiaTheme="minorHAnsi" w:hAnsiTheme="minorHAnsi" w:cstheme="minorBidi"/>
      <w:sz w:val="22"/>
      <w:szCs w:val="22"/>
      <w:lang w:eastAsia="en-US"/>
    </w:rPr>
  </w:style>
  <w:style w:type="character" w:customStyle="1" w:styleId="ae">
    <w:name w:val="Текст на бележка в края Знак"/>
    <w:basedOn w:val="a1"/>
    <w:link w:val="ad"/>
    <w:qFormat/>
    <w:rsid w:val="00DB4CFA"/>
    <w:rPr>
      <w:rFonts w:ascii="Times New Roman" w:eastAsia="Times New Roman" w:hAnsi="Times New Roman" w:cs="Times New Roman"/>
      <w:sz w:val="20"/>
      <w:szCs w:val="20"/>
      <w:lang w:eastAsia="bg-BG"/>
    </w:rPr>
  </w:style>
  <w:style w:type="character" w:customStyle="1" w:styleId="apple-converted-space">
    <w:name w:val="apple-converted-space"/>
    <w:basedOn w:val="a1"/>
    <w:rsid w:val="00DB4CFA"/>
  </w:style>
  <w:style w:type="character" w:customStyle="1" w:styleId="a4">
    <w:name w:val="Списък на абзаци Знак"/>
    <w:link w:val="a0"/>
    <w:qFormat/>
    <w:locked/>
    <w:rsid w:val="00DB4CFA"/>
  </w:style>
  <w:style w:type="paragraph" w:customStyle="1" w:styleId="aff">
    <w:name w:val="Хоризонтална линия"/>
    <w:basedOn w:val="a"/>
    <w:rsid w:val="00DB4CFA"/>
    <w:pPr>
      <w:suppressLineNumbers/>
      <w:pBdr>
        <w:top w:val="none" w:sz="0" w:space="0" w:color="000000"/>
        <w:left w:val="none" w:sz="0" w:space="0" w:color="000000"/>
        <w:bottom w:val="none" w:sz="0" w:space="0" w:color="000000"/>
        <w:right w:val="none" w:sz="0" w:space="0" w:color="000000"/>
      </w:pBdr>
      <w:suppressAutoHyphens/>
      <w:spacing w:after="57" w:line="276" w:lineRule="auto"/>
      <w:jc w:val="center"/>
    </w:pPr>
    <w:rPr>
      <w:rFonts w:ascii="Calibri" w:eastAsia="Calibri" w:hAnsi="Calibri" w:cs="Times New Roman"/>
      <w:sz w:val="12"/>
      <w:szCs w:val="1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yFYWpsnT54" TargetMode="External"/><Relationship Id="rId18" Type="http://schemas.openxmlformats.org/officeDocument/2006/relationships/hyperlink" Target="https://eumis2020.government.bg"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umis2020.government.bg/" TargetMode="External"/><Relationship Id="rId17" Type="http://schemas.openxmlformats.org/officeDocument/2006/relationships/hyperlink" Target="http://mig-pomorie.eu/"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mig_gotsedelchev@abv.b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vet.government.bg/bg/aktualen-spisak-na-profesiite-za-poo/"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youtube.com/watch?v=__rq_vJCi7A" TargetMode="External"/><Relationship Id="rId23" Type="http://schemas.openxmlformats.org/officeDocument/2006/relationships/footer" Target="footer2.xml"/><Relationship Id="rId10" Type="http://schemas.openxmlformats.org/officeDocument/2006/relationships/hyperlink" Target="http://www.navet.government.bg/bg/statut-na-tspo/" TargetMode="External"/><Relationship Id="rId19" Type="http://schemas.openxmlformats.org/officeDocument/2006/relationships/hyperlink" Target="http://esf.bg/informatsiya" TargetMode="External"/><Relationship Id="rId4" Type="http://schemas.openxmlformats.org/officeDocument/2006/relationships/styles" Target="styles.xml"/><Relationship Id="rId9" Type="http://schemas.openxmlformats.org/officeDocument/2006/relationships/hyperlink" Target="https://www.eufunds.bg/archive/documents/1423147813.pdf" TargetMode="External"/><Relationship Id="rId14" Type="http://schemas.openxmlformats.org/officeDocument/2006/relationships/hyperlink" Target="https://www.youtube.com/watch?v=pX7nhlxmJAI"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ED345-954D-4974-B954-599DDABB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72</Pages>
  <Words>27128</Words>
  <Characters>154636</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MIG2</cp:lastModifiedBy>
  <cp:revision>13</cp:revision>
  <cp:lastPrinted>2020-04-03T08:10:00Z</cp:lastPrinted>
  <dcterms:created xsi:type="dcterms:W3CDTF">2020-04-02T10:32:00Z</dcterms:created>
  <dcterms:modified xsi:type="dcterms:W3CDTF">2020-09-14T13:40:00Z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